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7FE4" w14:textId="0ADE14F3" w:rsidR="00876DB9" w:rsidRPr="005F4EC6" w:rsidRDefault="00876DB9" w:rsidP="00A55A51">
      <w:pPr>
        <w:ind w:firstLine="199"/>
        <w:jc w:val="center"/>
        <w:rPr>
          <w:rFonts w:ascii="Garamond" w:hAnsi="Garamond"/>
          <w:color w:val="000000"/>
          <w:sz w:val="36"/>
          <w:szCs w:val="36"/>
        </w:rPr>
      </w:pPr>
    </w:p>
    <w:p w14:paraId="5F089695" w14:textId="7638F8D6" w:rsidR="00876DB9" w:rsidRPr="005F4EC6" w:rsidRDefault="00E66949" w:rsidP="00A55A51">
      <w:pPr>
        <w:spacing w:after="0" w:line="240" w:lineRule="auto"/>
        <w:contextualSpacing/>
        <w:jc w:val="center"/>
        <w:rPr>
          <w:rFonts w:ascii="Garamond" w:hAnsi="Garamond" w:cstheme="majorBidi"/>
          <w:b/>
          <w:bCs/>
          <w:sz w:val="28"/>
          <w:szCs w:val="28"/>
        </w:rPr>
      </w:pPr>
      <w:proofErr w:type="spellStart"/>
      <w:r w:rsidRPr="00E66949">
        <w:rPr>
          <w:rFonts w:ascii="Garamond" w:hAnsi="Garamond" w:cstheme="majorBidi"/>
          <w:b/>
          <w:bCs/>
          <w:sz w:val="28"/>
          <w:szCs w:val="28"/>
        </w:rPr>
        <w:t>Konstruksi</w:t>
      </w:r>
      <w:proofErr w:type="spellEnd"/>
      <w:r w:rsidRPr="00E66949">
        <w:rPr>
          <w:rFonts w:ascii="Garamond" w:hAnsi="Garamond" w:cstheme="majorBidi"/>
          <w:b/>
          <w:bCs/>
          <w:sz w:val="28"/>
          <w:szCs w:val="28"/>
        </w:rPr>
        <w:t xml:space="preserve"> Hukum </w:t>
      </w:r>
      <w:proofErr w:type="spellStart"/>
      <w:r w:rsidRPr="00E66949">
        <w:rPr>
          <w:rFonts w:ascii="Garamond" w:hAnsi="Garamond" w:cstheme="majorBidi"/>
          <w:b/>
          <w:bCs/>
          <w:sz w:val="28"/>
          <w:szCs w:val="28"/>
        </w:rPr>
        <w:t>Gugatan</w:t>
      </w:r>
      <w:proofErr w:type="spellEnd"/>
      <w:r w:rsidRPr="00E66949">
        <w:rPr>
          <w:rFonts w:ascii="Garamond" w:hAnsi="Garamond" w:cstheme="majorBidi"/>
          <w:b/>
          <w:bCs/>
          <w:sz w:val="28"/>
          <w:szCs w:val="28"/>
        </w:rPr>
        <w:t xml:space="preserve"> </w:t>
      </w:r>
      <w:proofErr w:type="spellStart"/>
      <w:r w:rsidRPr="00E66949">
        <w:rPr>
          <w:rFonts w:ascii="Garamond" w:hAnsi="Garamond" w:cstheme="majorBidi"/>
          <w:b/>
          <w:bCs/>
          <w:sz w:val="28"/>
          <w:szCs w:val="28"/>
        </w:rPr>
        <w:t>Sederhana</w:t>
      </w:r>
      <w:proofErr w:type="spellEnd"/>
      <w:r w:rsidRPr="00E66949">
        <w:rPr>
          <w:rFonts w:ascii="Garamond" w:hAnsi="Garamond" w:cstheme="majorBidi"/>
          <w:b/>
          <w:bCs/>
          <w:sz w:val="28"/>
          <w:szCs w:val="28"/>
        </w:rPr>
        <w:t xml:space="preserve"> </w:t>
      </w:r>
      <w:proofErr w:type="spellStart"/>
      <w:r w:rsidRPr="00E66949">
        <w:rPr>
          <w:rFonts w:ascii="Garamond" w:hAnsi="Garamond" w:cstheme="majorBidi"/>
          <w:b/>
          <w:bCs/>
          <w:sz w:val="28"/>
          <w:szCs w:val="28"/>
        </w:rPr>
        <w:t>dalam</w:t>
      </w:r>
      <w:proofErr w:type="spellEnd"/>
      <w:r w:rsidRPr="00E66949">
        <w:rPr>
          <w:rFonts w:ascii="Garamond" w:hAnsi="Garamond" w:cstheme="majorBidi"/>
          <w:b/>
          <w:bCs/>
          <w:sz w:val="28"/>
          <w:szCs w:val="28"/>
        </w:rPr>
        <w:t xml:space="preserve"> </w:t>
      </w:r>
      <w:proofErr w:type="spellStart"/>
      <w:r w:rsidRPr="00E66949">
        <w:rPr>
          <w:rFonts w:ascii="Garamond" w:hAnsi="Garamond" w:cstheme="majorBidi"/>
          <w:b/>
          <w:bCs/>
          <w:sz w:val="28"/>
          <w:szCs w:val="28"/>
        </w:rPr>
        <w:t>Sistem</w:t>
      </w:r>
      <w:proofErr w:type="spellEnd"/>
      <w:r w:rsidRPr="00E66949">
        <w:rPr>
          <w:rFonts w:ascii="Garamond" w:hAnsi="Garamond" w:cstheme="majorBidi"/>
          <w:b/>
          <w:bCs/>
          <w:sz w:val="28"/>
          <w:szCs w:val="28"/>
        </w:rPr>
        <w:t xml:space="preserve"> </w:t>
      </w:r>
      <w:proofErr w:type="spellStart"/>
      <w:r w:rsidRPr="00E66949">
        <w:rPr>
          <w:rFonts w:ascii="Garamond" w:hAnsi="Garamond" w:cstheme="majorBidi"/>
          <w:b/>
          <w:bCs/>
          <w:sz w:val="28"/>
          <w:szCs w:val="28"/>
        </w:rPr>
        <w:t>Peradilan</w:t>
      </w:r>
      <w:proofErr w:type="spellEnd"/>
      <w:r w:rsidRPr="00E66949">
        <w:rPr>
          <w:rFonts w:ascii="Garamond" w:hAnsi="Garamond" w:cstheme="majorBidi"/>
          <w:b/>
          <w:bCs/>
          <w:sz w:val="28"/>
          <w:szCs w:val="28"/>
        </w:rPr>
        <w:t xml:space="preserve"> Indonesia: </w:t>
      </w:r>
      <w:proofErr w:type="spellStart"/>
      <w:r w:rsidRPr="00E66949">
        <w:rPr>
          <w:rFonts w:ascii="Garamond" w:hAnsi="Garamond" w:cstheme="majorBidi"/>
          <w:b/>
          <w:bCs/>
          <w:sz w:val="28"/>
          <w:szCs w:val="28"/>
        </w:rPr>
        <w:t>Analisis</w:t>
      </w:r>
      <w:proofErr w:type="spellEnd"/>
      <w:r w:rsidRPr="00E66949">
        <w:rPr>
          <w:rFonts w:ascii="Garamond" w:hAnsi="Garamond" w:cstheme="majorBidi"/>
          <w:b/>
          <w:bCs/>
          <w:sz w:val="28"/>
          <w:szCs w:val="28"/>
        </w:rPr>
        <w:t xml:space="preserve"> </w:t>
      </w:r>
      <w:proofErr w:type="spellStart"/>
      <w:r w:rsidRPr="00E66949">
        <w:rPr>
          <w:rFonts w:ascii="Garamond" w:hAnsi="Garamond" w:cstheme="majorBidi"/>
          <w:b/>
          <w:bCs/>
          <w:sz w:val="28"/>
          <w:szCs w:val="28"/>
        </w:rPr>
        <w:t>Perbandingan</w:t>
      </w:r>
      <w:proofErr w:type="spellEnd"/>
      <w:r w:rsidRPr="00E66949">
        <w:rPr>
          <w:rFonts w:ascii="Garamond" w:hAnsi="Garamond" w:cstheme="majorBidi"/>
          <w:b/>
          <w:bCs/>
          <w:sz w:val="28"/>
          <w:szCs w:val="28"/>
        </w:rPr>
        <w:t xml:space="preserve"> </w:t>
      </w:r>
      <w:proofErr w:type="spellStart"/>
      <w:r w:rsidRPr="00E66949">
        <w:rPr>
          <w:rFonts w:ascii="Garamond" w:hAnsi="Garamond" w:cstheme="majorBidi"/>
          <w:b/>
          <w:bCs/>
          <w:sz w:val="28"/>
          <w:szCs w:val="28"/>
        </w:rPr>
        <w:t>antara</w:t>
      </w:r>
      <w:proofErr w:type="spellEnd"/>
      <w:r w:rsidRPr="00E66949">
        <w:rPr>
          <w:rFonts w:ascii="Garamond" w:hAnsi="Garamond" w:cstheme="majorBidi"/>
          <w:b/>
          <w:bCs/>
          <w:sz w:val="28"/>
          <w:szCs w:val="28"/>
        </w:rPr>
        <w:t xml:space="preserve"> Teori dan </w:t>
      </w:r>
      <w:proofErr w:type="spellStart"/>
      <w:r w:rsidRPr="00E66949">
        <w:rPr>
          <w:rFonts w:ascii="Garamond" w:hAnsi="Garamond" w:cstheme="majorBidi"/>
          <w:b/>
          <w:bCs/>
          <w:sz w:val="28"/>
          <w:szCs w:val="28"/>
        </w:rPr>
        <w:t>Praktik</w:t>
      </w:r>
      <w:proofErr w:type="spellEnd"/>
    </w:p>
    <w:p w14:paraId="78AF1850" w14:textId="77777777" w:rsidR="00BD41F7" w:rsidRPr="005F4EC6" w:rsidRDefault="00BD41F7" w:rsidP="00A55A51">
      <w:pPr>
        <w:spacing w:after="0" w:line="240" w:lineRule="auto"/>
        <w:contextualSpacing/>
        <w:jc w:val="center"/>
        <w:rPr>
          <w:rFonts w:ascii="Garamond" w:hAnsi="Garamond"/>
          <w:color w:val="000000"/>
          <w:sz w:val="36"/>
          <w:szCs w:val="48"/>
          <w:lang w:val="id-ID"/>
        </w:rPr>
      </w:pPr>
    </w:p>
    <w:p w14:paraId="4EA1B1C1" w14:textId="40FAF5F8" w:rsidR="005F4EC6" w:rsidRPr="005F4EC6" w:rsidRDefault="00E66949" w:rsidP="00A55A51">
      <w:pPr>
        <w:spacing w:after="0" w:line="240" w:lineRule="auto"/>
        <w:jc w:val="center"/>
        <w:rPr>
          <w:rFonts w:ascii="Garamond" w:hAnsi="Garamond" w:cstheme="majorBidi"/>
        </w:rPr>
      </w:pPr>
      <w:r>
        <w:rPr>
          <w:rFonts w:ascii="Garamond" w:hAnsi="Garamond" w:cstheme="majorBidi"/>
          <w:b/>
          <w:bCs/>
          <w:i/>
          <w:iCs/>
        </w:rPr>
        <w:t>Chandera</w:t>
      </w:r>
      <w:r w:rsidR="005F4EC6" w:rsidRPr="005F4EC6">
        <w:rPr>
          <w:rFonts w:ascii="Garamond" w:hAnsi="Garamond" w:cstheme="majorBidi"/>
          <w:b/>
          <w:bCs/>
          <w:i/>
          <w:iCs/>
          <w:vertAlign w:val="superscript"/>
        </w:rPr>
        <w:t>1*</w:t>
      </w:r>
    </w:p>
    <w:p w14:paraId="2C2D1ABF" w14:textId="0BCF8C1C" w:rsidR="005F4EC6" w:rsidRPr="005F4EC6" w:rsidRDefault="005F4EC6" w:rsidP="00A55A51">
      <w:pPr>
        <w:spacing w:after="0" w:line="240" w:lineRule="auto"/>
        <w:jc w:val="center"/>
        <w:rPr>
          <w:rFonts w:ascii="Garamond" w:hAnsi="Garamond" w:cstheme="majorBidi"/>
        </w:rPr>
      </w:pPr>
      <w:r w:rsidRPr="005F4EC6">
        <w:rPr>
          <w:rFonts w:ascii="Garamond" w:hAnsi="Garamond" w:cstheme="majorBidi"/>
          <w:i/>
          <w:iCs/>
          <w:vertAlign w:val="superscript"/>
        </w:rPr>
        <w:t>1</w:t>
      </w:r>
      <w:r w:rsidRPr="005F4EC6">
        <w:rPr>
          <w:rFonts w:ascii="Garamond" w:hAnsi="Garamond" w:cstheme="majorBidi"/>
          <w:i/>
          <w:iCs/>
        </w:rPr>
        <w:t xml:space="preserve"> </w:t>
      </w:r>
      <w:proofErr w:type="spellStart"/>
      <w:r w:rsidR="00E66949">
        <w:rPr>
          <w:rFonts w:ascii="Garamond" w:hAnsi="Garamond" w:cstheme="majorBidi"/>
          <w:i/>
          <w:iCs/>
        </w:rPr>
        <w:t>Fakultas</w:t>
      </w:r>
      <w:proofErr w:type="spellEnd"/>
      <w:r w:rsidR="00E66949">
        <w:rPr>
          <w:rFonts w:ascii="Garamond" w:hAnsi="Garamond" w:cstheme="majorBidi"/>
          <w:i/>
          <w:iCs/>
        </w:rPr>
        <w:t xml:space="preserve"> Hukum, Universitas Atma Jaya Yogyakarta, Email: chandera.halim01@gmail.com</w:t>
      </w:r>
    </w:p>
    <w:p w14:paraId="2F4CDF83" w14:textId="7A1339EA" w:rsidR="00876DB9" w:rsidRPr="005F4EC6" w:rsidRDefault="00876DB9" w:rsidP="005F4EC6">
      <w:pPr>
        <w:pStyle w:val="authoraffiliation"/>
        <w:spacing w:after="0" w:line="240" w:lineRule="auto"/>
        <w:ind w:firstLine="198"/>
        <w:jc w:val="both"/>
        <w:rPr>
          <w:rFonts w:ascii="Garamond" w:hAnsi="Garamond"/>
          <w:color w:val="000000"/>
          <w:sz w:val="18"/>
          <w:szCs w:val="18"/>
        </w:rPr>
      </w:pPr>
    </w:p>
    <w:p w14:paraId="33275F7C" w14:textId="77777777" w:rsidR="0065116C" w:rsidRPr="005F4EC6" w:rsidRDefault="0065116C" w:rsidP="00A55A51">
      <w:pPr>
        <w:jc w:val="center"/>
        <w:rPr>
          <w:rFonts w:ascii="Garamond" w:hAnsi="Garamond"/>
          <w:sz w:val="16"/>
          <w:szCs w:val="16"/>
          <w:lang w:val="fi-FI"/>
        </w:rPr>
      </w:pPr>
    </w:p>
    <w:p w14:paraId="0886E90C" w14:textId="64F9D620" w:rsidR="0065116C" w:rsidRPr="005F4EC6" w:rsidRDefault="0065116C" w:rsidP="00A55A51">
      <w:pPr>
        <w:spacing w:after="0" w:line="240" w:lineRule="auto"/>
        <w:ind w:left="62" w:firstLine="318"/>
        <w:jc w:val="center"/>
        <w:rPr>
          <w:rFonts w:ascii="Garamond" w:hAnsi="Garamond"/>
          <w:i/>
          <w:color w:val="000000"/>
          <w:sz w:val="16"/>
          <w:szCs w:val="16"/>
        </w:rPr>
      </w:pPr>
      <w:bookmarkStart w:id="0" w:name="_Hlk515423220"/>
      <w:r w:rsidRPr="005F4EC6">
        <w:rPr>
          <w:rFonts w:ascii="Garamond" w:hAnsi="Garamond"/>
          <w:i/>
          <w:color w:val="000000"/>
          <w:sz w:val="16"/>
          <w:szCs w:val="16"/>
          <w:lang w:val="fi-FI"/>
        </w:rPr>
        <w:t xml:space="preserve">Naskah Diterima : </w:t>
      </w:r>
      <w:r w:rsidR="00BD41F7" w:rsidRPr="005F4EC6">
        <w:rPr>
          <w:rFonts w:ascii="Garamond" w:hAnsi="Garamond"/>
          <w:i/>
          <w:color w:val="000000"/>
          <w:sz w:val="16"/>
          <w:szCs w:val="16"/>
        </w:rPr>
        <w:t xml:space="preserve">5 Januari </w:t>
      </w:r>
      <w:r w:rsidRPr="005F4EC6">
        <w:rPr>
          <w:rFonts w:ascii="Garamond" w:hAnsi="Garamond"/>
          <w:i/>
          <w:color w:val="000000"/>
          <w:sz w:val="16"/>
          <w:szCs w:val="16"/>
        </w:rPr>
        <w:t>20</w:t>
      </w:r>
      <w:r w:rsidR="00BD41F7" w:rsidRPr="005F4EC6">
        <w:rPr>
          <w:rFonts w:ascii="Garamond" w:hAnsi="Garamond"/>
          <w:i/>
          <w:color w:val="000000"/>
          <w:sz w:val="16"/>
          <w:szCs w:val="16"/>
        </w:rPr>
        <w:t>25</w:t>
      </w:r>
      <w:r w:rsidRPr="005F4EC6">
        <w:rPr>
          <w:rFonts w:ascii="Garamond" w:hAnsi="Garamond"/>
          <w:i/>
          <w:color w:val="000000"/>
          <w:sz w:val="16"/>
          <w:szCs w:val="16"/>
          <w:lang w:val="fi-FI"/>
        </w:rPr>
        <w:t xml:space="preserve">; Diterima Publikasi : </w:t>
      </w:r>
      <w:r w:rsidR="00BD41F7" w:rsidRPr="005F4EC6">
        <w:rPr>
          <w:rFonts w:ascii="Garamond" w:hAnsi="Garamond"/>
          <w:i/>
          <w:color w:val="000000"/>
          <w:sz w:val="16"/>
          <w:szCs w:val="16"/>
          <w:lang w:val="fi-FI"/>
        </w:rPr>
        <w:t>25 Februari 2025</w:t>
      </w:r>
    </w:p>
    <w:p w14:paraId="3AA73266" w14:textId="77777777" w:rsidR="0065116C" w:rsidRPr="005F4EC6" w:rsidRDefault="0065116C" w:rsidP="00A55A51">
      <w:pPr>
        <w:pStyle w:val="Default"/>
        <w:snapToGrid w:val="0"/>
        <w:ind w:left="30" w:firstLine="360"/>
        <w:contextualSpacing/>
        <w:jc w:val="center"/>
        <w:rPr>
          <w:rFonts w:ascii="Garamond" w:hAnsi="Garamond"/>
          <w:bCs/>
          <w:sz w:val="16"/>
          <w:szCs w:val="16"/>
        </w:rPr>
      </w:pPr>
      <w:proofErr w:type="gramStart"/>
      <w:r w:rsidRPr="005F4EC6">
        <w:rPr>
          <w:rFonts w:ascii="Garamond" w:hAnsi="Garamond"/>
          <w:i/>
          <w:sz w:val="16"/>
          <w:szCs w:val="16"/>
        </w:rPr>
        <w:t>DOI :</w:t>
      </w:r>
      <w:proofErr w:type="gramEnd"/>
      <w:r w:rsidRPr="005F4EC6">
        <w:rPr>
          <w:rFonts w:ascii="Garamond" w:hAnsi="Garamond"/>
          <w:i/>
          <w:sz w:val="16"/>
          <w:szCs w:val="16"/>
        </w:rPr>
        <w:t xml:space="preserve"> </w:t>
      </w:r>
      <w:r w:rsidRPr="005F4EC6">
        <w:rPr>
          <w:rFonts w:ascii="Garamond" w:hAnsi="Garamond"/>
          <w:i/>
          <w:sz w:val="16"/>
          <w:szCs w:val="16"/>
          <w:bdr w:val="none" w:sz="0" w:space="0" w:color="auto" w:frame="1"/>
          <w:shd w:val="clear" w:color="auto" w:fill="FFFFFF"/>
        </w:rPr>
        <w:t>10.21456/vol10iss</w:t>
      </w:r>
      <w:r w:rsidRPr="005F4EC6">
        <w:rPr>
          <w:rFonts w:ascii="Garamond" w:hAnsi="Garamond"/>
          <w:i/>
          <w:sz w:val="16"/>
          <w:szCs w:val="16"/>
          <w:bdr w:val="none" w:sz="0" w:space="0" w:color="auto" w:frame="1"/>
          <w:shd w:val="clear" w:color="auto" w:fill="FFFFFF"/>
          <w:lang w:val="en-US"/>
        </w:rPr>
        <w:t>1</w:t>
      </w:r>
      <w:r w:rsidRPr="005F4EC6">
        <w:rPr>
          <w:rFonts w:ascii="Garamond" w:hAnsi="Garamond"/>
          <w:i/>
          <w:sz w:val="16"/>
          <w:szCs w:val="16"/>
          <w:bdr w:val="none" w:sz="0" w:space="0" w:color="auto" w:frame="1"/>
          <w:shd w:val="clear" w:color="auto" w:fill="FFFFFF"/>
        </w:rPr>
        <w:t>pp</w:t>
      </w:r>
      <w:r w:rsidRPr="005F4EC6">
        <w:rPr>
          <w:rFonts w:ascii="Garamond" w:hAnsi="Garamond"/>
          <w:i/>
          <w:sz w:val="16"/>
          <w:szCs w:val="16"/>
          <w:bdr w:val="none" w:sz="0" w:space="0" w:color="auto" w:frame="1"/>
          <w:shd w:val="clear" w:color="auto" w:fill="FFFFFF"/>
          <w:lang w:val="en-US"/>
        </w:rPr>
        <w:t>1</w:t>
      </w:r>
      <w:r w:rsidRPr="005F4EC6">
        <w:rPr>
          <w:rFonts w:ascii="Garamond" w:hAnsi="Garamond"/>
          <w:i/>
          <w:sz w:val="16"/>
          <w:szCs w:val="16"/>
          <w:bdr w:val="none" w:sz="0" w:space="0" w:color="auto" w:frame="1"/>
          <w:shd w:val="clear" w:color="auto" w:fill="FFFFFF"/>
        </w:rPr>
        <w:t>-</w:t>
      </w:r>
      <w:bookmarkEnd w:id="0"/>
      <w:r w:rsidRPr="005F4EC6">
        <w:rPr>
          <w:rFonts w:ascii="Garamond" w:hAnsi="Garamond"/>
          <w:i/>
          <w:sz w:val="16"/>
          <w:szCs w:val="16"/>
          <w:bdr w:val="none" w:sz="0" w:space="0" w:color="auto" w:frame="1"/>
          <w:shd w:val="clear" w:color="auto" w:fill="FFFFFF"/>
        </w:rPr>
        <w:t>9</w:t>
      </w:r>
    </w:p>
    <w:p w14:paraId="3B454002" w14:textId="77777777" w:rsidR="00876DB9" w:rsidRPr="005F4EC6" w:rsidRDefault="00876DB9" w:rsidP="005F4EC6">
      <w:pPr>
        <w:pBdr>
          <w:bottom w:val="single" w:sz="4" w:space="1" w:color="auto"/>
        </w:pBdr>
        <w:ind w:firstLine="199"/>
        <w:jc w:val="both"/>
        <w:rPr>
          <w:rFonts w:ascii="Garamond" w:hAnsi="Garamond"/>
          <w:color w:val="000000"/>
          <w:sz w:val="20"/>
          <w:szCs w:val="20"/>
          <w:lang w:val="fi-FI"/>
        </w:rPr>
      </w:pPr>
    </w:p>
    <w:p w14:paraId="6AB5551B" w14:textId="7144974A" w:rsidR="00876DB9" w:rsidRPr="005F4EC6" w:rsidRDefault="00C560D7" w:rsidP="005F4EC6">
      <w:pPr>
        <w:jc w:val="both"/>
        <w:rPr>
          <w:rFonts w:ascii="Garamond" w:hAnsi="Garamond"/>
          <w:color w:val="000000"/>
          <w:sz w:val="18"/>
          <w:szCs w:val="20"/>
          <w:lang w:val="fi-FI"/>
        </w:rPr>
      </w:pPr>
      <w:r w:rsidRPr="005F4EC6">
        <w:rPr>
          <w:rFonts w:ascii="Garamond" w:hAnsi="Garamond"/>
          <w:b/>
          <w:bCs/>
          <w:color w:val="000000"/>
          <w:sz w:val="20"/>
          <w:szCs w:val="20"/>
          <w:lang w:val="fi-FI"/>
        </w:rPr>
        <w:t xml:space="preserve">Abstract </w:t>
      </w:r>
    </w:p>
    <w:p w14:paraId="498ED87B" w14:textId="77777777" w:rsidR="00876DB9" w:rsidRPr="005F4EC6" w:rsidRDefault="00876DB9" w:rsidP="005F4EC6">
      <w:pPr>
        <w:jc w:val="both"/>
        <w:rPr>
          <w:rFonts w:ascii="Garamond" w:hAnsi="Garamond"/>
          <w:b/>
          <w:bCs/>
          <w:color w:val="000000"/>
          <w:sz w:val="18"/>
          <w:szCs w:val="18"/>
          <w:lang w:val="fi-FI"/>
        </w:rPr>
      </w:pPr>
    </w:p>
    <w:p w14:paraId="7BB1F7E2" w14:textId="0B4C760D" w:rsidR="00E66949" w:rsidRPr="00E66949" w:rsidRDefault="00E66949" w:rsidP="005F4EC6">
      <w:pPr>
        <w:jc w:val="both"/>
        <w:rPr>
          <w:rFonts w:ascii="Garamond" w:hAnsi="Garamond"/>
          <w:sz w:val="20"/>
          <w:szCs w:val="20"/>
          <w:lang w:val="en-ID"/>
        </w:rPr>
      </w:pPr>
      <w:r w:rsidRPr="00E66949">
        <w:rPr>
          <w:rFonts w:ascii="Garamond" w:hAnsi="Garamond"/>
          <w:sz w:val="20"/>
          <w:szCs w:val="20"/>
        </w:rPr>
        <w:t>Simple lawsuit mechanisms were introduced to enhance access to justice and expedite case resolution in Indonesia’s civil judicial system. However, disparities between theoretical legal construction and judicial practice have raised concerns regarding its effectiveness and consistency. This study aims to analyze the legal construction of simple lawsuits in Indonesia by comparing normative theory with its practical implementation in courts. Employing a normative juridical method supported by case studies from various district courts, the research identifies structural and procedural inconsistencies, particularly in the interpretation of “simple cases,” limitations on appeals, and the role of judges. The findings show that the current framework does not fully reflect the principle of procedural justice and tends to undermine legal certainty for litigants. To strengthen legal protection and efficiency, the study recommends revising the regulatory design of simple lawsu</w:t>
      </w:r>
      <w:r>
        <w:rPr>
          <w:rFonts w:ascii="Garamond" w:hAnsi="Garamond"/>
          <w:sz w:val="20"/>
          <w:szCs w:val="20"/>
        </w:rPr>
        <w:t>i</w:t>
      </w:r>
      <w:r w:rsidRPr="00E66949">
        <w:rPr>
          <w:rFonts w:ascii="Garamond" w:hAnsi="Garamond"/>
          <w:sz w:val="20"/>
          <w:szCs w:val="20"/>
        </w:rPr>
        <w:t>ts and improving judicial capacity through specialized training and clear procedural guidance.</w:t>
      </w:r>
    </w:p>
    <w:p w14:paraId="2B260463" w14:textId="2B4167DD" w:rsidR="00C52B50" w:rsidRPr="00E66949" w:rsidRDefault="00C52B50" w:rsidP="00C52B50">
      <w:pPr>
        <w:jc w:val="both"/>
        <w:rPr>
          <w:rFonts w:ascii="Garamond" w:hAnsi="Garamond"/>
          <w:i/>
          <w:color w:val="000000"/>
          <w:sz w:val="18"/>
          <w:szCs w:val="18"/>
          <w:lang w:val="en-ID"/>
        </w:rPr>
      </w:pPr>
      <w:r w:rsidRPr="00C52B50">
        <w:rPr>
          <w:rFonts w:ascii="Garamond" w:hAnsi="Garamond"/>
          <w:b/>
          <w:bCs/>
          <w:i/>
          <w:color w:val="000000"/>
          <w:sz w:val="18"/>
          <w:szCs w:val="18"/>
          <w:lang w:val="en-ID"/>
        </w:rPr>
        <w:t>Keyword:</w:t>
      </w:r>
      <w:r w:rsidR="00E66949">
        <w:rPr>
          <w:rFonts w:ascii="Garamond" w:hAnsi="Garamond"/>
          <w:b/>
          <w:bCs/>
          <w:i/>
          <w:color w:val="000000"/>
          <w:sz w:val="18"/>
          <w:szCs w:val="18"/>
          <w:lang w:val="en-ID"/>
        </w:rPr>
        <w:t xml:space="preserve"> </w:t>
      </w:r>
      <w:r w:rsidR="00E66949" w:rsidRPr="00E66949">
        <w:rPr>
          <w:rFonts w:ascii="Garamond" w:hAnsi="Garamond"/>
          <w:i/>
          <w:color w:val="000000"/>
          <w:sz w:val="18"/>
          <w:szCs w:val="18"/>
        </w:rPr>
        <w:t>Small claims, legal certainty, access to justice</w:t>
      </w:r>
    </w:p>
    <w:p w14:paraId="077EE1A9" w14:textId="16C586D0" w:rsidR="00876DB9" w:rsidRPr="00E66949" w:rsidRDefault="00C560D7" w:rsidP="00E66949">
      <w:pPr>
        <w:jc w:val="center"/>
        <w:rPr>
          <w:rFonts w:ascii="Garamond" w:hAnsi="Garamond"/>
          <w:color w:val="000000"/>
          <w:sz w:val="18"/>
          <w:szCs w:val="20"/>
          <w:lang w:val="fi-FI"/>
        </w:rPr>
      </w:pPr>
      <w:r w:rsidRPr="005F4EC6">
        <w:rPr>
          <w:rFonts w:ascii="Garamond" w:hAnsi="Garamond"/>
          <w:b/>
          <w:bCs/>
          <w:color w:val="000000"/>
          <w:sz w:val="20"/>
          <w:szCs w:val="20"/>
          <w:lang w:val="fi-FI"/>
        </w:rPr>
        <w:t>Abstrak</w:t>
      </w:r>
    </w:p>
    <w:p w14:paraId="7C018699" w14:textId="4465FC3E" w:rsidR="00E66949" w:rsidRDefault="00E66949" w:rsidP="00C52B50">
      <w:pPr>
        <w:jc w:val="both"/>
        <w:rPr>
          <w:rFonts w:ascii="Garamond" w:hAnsi="Garamond"/>
          <w:bCs/>
          <w:iCs/>
          <w:color w:val="000000"/>
          <w:sz w:val="20"/>
          <w:szCs w:val="20"/>
        </w:rPr>
      </w:pPr>
      <w:proofErr w:type="spellStart"/>
      <w:r w:rsidRPr="00E66949">
        <w:rPr>
          <w:rFonts w:ascii="Garamond" w:hAnsi="Garamond"/>
          <w:bCs/>
          <w:iCs/>
          <w:color w:val="000000"/>
          <w:sz w:val="20"/>
          <w:szCs w:val="20"/>
        </w:rPr>
        <w:t>Gugatan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sederhana</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dihadirkan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dalam</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sistem</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peradilan</w:t>
      </w:r>
      <w:proofErr w:type="spellEnd"/>
      <w:r w:rsidRPr="00E66949">
        <w:rPr>
          <w:rFonts w:ascii="Garamond" w:hAnsi="Garamond"/>
          <w:bCs/>
          <w:iCs/>
          <w:color w:val="000000"/>
          <w:sz w:val="20"/>
          <w:szCs w:val="20"/>
        </w:rPr>
        <w:t xml:space="preserve"> Indonesia </w:t>
      </w:r>
      <w:proofErr w:type="spellStart"/>
      <w:r w:rsidRPr="00E66949">
        <w:rPr>
          <w:rFonts w:ascii="Garamond" w:hAnsi="Garamond"/>
          <w:bCs/>
          <w:iCs/>
          <w:color w:val="000000"/>
          <w:sz w:val="20"/>
          <w:szCs w:val="20"/>
        </w:rPr>
        <w:t>untuk</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mempercepat</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penyelesaian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perkara</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perdata</w:t>
      </w:r>
      <w:proofErr w:type="spellEnd"/>
      <w:r w:rsidRPr="00E66949">
        <w:rPr>
          <w:rFonts w:ascii="Garamond" w:hAnsi="Garamond"/>
          <w:bCs/>
          <w:iCs/>
          <w:color w:val="000000"/>
          <w:sz w:val="20"/>
          <w:szCs w:val="20"/>
        </w:rPr>
        <w:t xml:space="preserve"> dan </w:t>
      </w:r>
      <w:proofErr w:type="spellStart"/>
      <w:r w:rsidRPr="00E66949">
        <w:rPr>
          <w:rFonts w:ascii="Garamond" w:hAnsi="Garamond"/>
          <w:bCs/>
          <w:iCs/>
          <w:color w:val="000000"/>
          <w:sz w:val="20"/>
          <w:szCs w:val="20"/>
        </w:rPr>
        <w:t>memperluas</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akses</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terhadap</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keadilan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Namun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terdapat</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ketidaksesuaian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antara</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konstruksi</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normatif</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hukum</w:t>
      </w:r>
      <w:proofErr w:type="spellEnd"/>
      <w:r w:rsidRPr="00E66949">
        <w:rPr>
          <w:rFonts w:ascii="Garamond" w:hAnsi="Garamond"/>
          <w:bCs/>
          <w:iCs/>
          <w:color w:val="000000"/>
          <w:sz w:val="20"/>
          <w:szCs w:val="20"/>
        </w:rPr>
        <w:t xml:space="preserve"> dan </w:t>
      </w:r>
      <w:proofErr w:type="spellStart"/>
      <w:r w:rsidRPr="00E66949">
        <w:rPr>
          <w:rFonts w:ascii="Garamond" w:hAnsi="Garamond"/>
          <w:bCs/>
          <w:iCs/>
          <w:color w:val="000000"/>
          <w:sz w:val="20"/>
          <w:szCs w:val="20"/>
        </w:rPr>
        <w:t>praktik</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penerapannya</w:t>
      </w:r>
      <w:proofErr w:type="spellEnd"/>
      <w:r w:rsidRPr="00E66949">
        <w:rPr>
          <w:rFonts w:ascii="Garamond" w:hAnsi="Garamond"/>
          <w:bCs/>
          <w:iCs/>
          <w:color w:val="000000"/>
          <w:sz w:val="20"/>
          <w:szCs w:val="20"/>
        </w:rPr>
        <w:t xml:space="preserve"> di </w:t>
      </w:r>
      <w:proofErr w:type="spellStart"/>
      <w:r w:rsidRPr="00E66949">
        <w:rPr>
          <w:rFonts w:ascii="Garamond" w:hAnsi="Garamond"/>
          <w:bCs/>
          <w:iCs/>
          <w:color w:val="000000"/>
          <w:sz w:val="20"/>
          <w:szCs w:val="20"/>
        </w:rPr>
        <w:t>pengadilan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khususnya</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dalam</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penafsiran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terhadap</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perkara</w:t>
      </w:r>
      <w:proofErr w:type="spellEnd"/>
      <w:r w:rsidRPr="00E66949">
        <w:rPr>
          <w:rFonts w:ascii="Garamond" w:hAnsi="Garamond"/>
          <w:bCs/>
          <w:iCs/>
          <w:color w:val="000000"/>
          <w:sz w:val="20"/>
          <w:szCs w:val="20"/>
        </w:rPr>
        <w:t xml:space="preserve"> yang </w:t>
      </w:r>
      <w:proofErr w:type="spellStart"/>
      <w:r w:rsidRPr="00E66949">
        <w:rPr>
          <w:rFonts w:ascii="Garamond" w:hAnsi="Garamond"/>
          <w:bCs/>
          <w:iCs/>
          <w:color w:val="000000"/>
          <w:sz w:val="20"/>
          <w:szCs w:val="20"/>
        </w:rPr>
        <w:t>dianggap</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sederhana</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Penelitian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ini</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bertujuan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menganalisis</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konstruksi</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hukum</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gugatan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sederhana</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melalui</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pendekatan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yuridis</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normatif</w:t>
      </w:r>
      <w:proofErr w:type="spellEnd"/>
      <w:r w:rsidRPr="00E66949">
        <w:rPr>
          <w:rFonts w:ascii="Garamond" w:hAnsi="Garamond"/>
          <w:bCs/>
          <w:iCs/>
          <w:color w:val="000000"/>
          <w:sz w:val="20"/>
          <w:szCs w:val="20"/>
        </w:rPr>
        <w:t xml:space="preserve"> dan </w:t>
      </w:r>
      <w:proofErr w:type="spellStart"/>
      <w:r w:rsidRPr="00E66949">
        <w:rPr>
          <w:rFonts w:ascii="Garamond" w:hAnsi="Garamond"/>
          <w:bCs/>
          <w:iCs/>
          <w:color w:val="000000"/>
          <w:sz w:val="20"/>
          <w:szCs w:val="20"/>
        </w:rPr>
        <w:t>studi</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kasus</w:t>
      </w:r>
      <w:proofErr w:type="spellEnd"/>
      <w:r w:rsidRPr="00E66949">
        <w:rPr>
          <w:rFonts w:ascii="Garamond" w:hAnsi="Garamond"/>
          <w:bCs/>
          <w:iCs/>
          <w:color w:val="000000"/>
          <w:sz w:val="20"/>
          <w:szCs w:val="20"/>
        </w:rPr>
        <w:t xml:space="preserve"> di </w:t>
      </w:r>
      <w:proofErr w:type="spellStart"/>
      <w:r w:rsidRPr="00E66949">
        <w:rPr>
          <w:rFonts w:ascii="Garamond" w:hAnsi="Garamond"/>
          <w:bCs/>
          <w:iCs/>
          <w:color w:val="000000"/>
          <w:sz w:val="20"/>
          <w:szCs w:val="20"/>
        </w:rPr>
        <w:t>beberapa</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pengadilan</w:t>
      </w:r>
      <w:proofErr w:type="spellEnd"/>
      <w:r w:rsidRPr="00E66949">
        <w:rPr>
          <w:rFonts w:ascii="Garamond" w:hAnsi="Garamond"/>
          <w:bCs/>
          <w:iCs/>
          <w:color w:val="000000"/>
          <w:sz w:val="20"/>
          <w:szCs w:val="20"/>
        </w:rPr>
        <w:t xml:space="preserve"> negeri. Hasil </w:t>
      </w:r>
      <w:proofErr w:type="spellStart"/>
      <w:r w:rsidRPr="00E66949">
        <w:rPr>
          <w:rFonts w:ascii="Garamond" w:hAnsi="Garamond"/>
          <w:bCs/>
          <w:iCs/>
          <w:color w:val="000000"/>
          <w:sz w:val="20"/>
          <w:szCs w:val="20"/>
        </w:rPr>
        <w:t>penelitian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menunjukkan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bahwa</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penerapan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gugatan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sederhana</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masih</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menghadapi</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hambatan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struktural</w:t>
      </w:r>
      <w:proofErr w:type="spellEnd"/>
      <w:r w:rsidRPr="00E66949">
        <w:rPr>
          <w:rFonts w:ascii="Garamond" w:hAnsi="Garamond"/>
          <w:bCs/>
          <w:iCs/>
          <w:color w:val="000000"/>
          <w:sz w:val="20"/>
          <w:szCs w:val="20"/>
        </w:rPr>
        <w:t xml:space="preserve"> dan </w:t>
      </w:r>
      <w:proofErr w:type="spellStart"/>
      <w:r w:rsidRPr="00E66949">
        <w:rPr>
          <w:rFonts w:ascii="Garamond" w:hAnsi="Garamond"/>
          <w:bCs/>
          <w:iCs/>
          <w:color w:val="000000"/>
          <w:sz w:val="20"/>
          <w:szCs w:val="20"/>
        </w:rPr>
        <w:t>prosedural</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seperti</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batasan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atas</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upaya</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hukum</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kurangnya</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keseragaman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penafsiran</w:t>
      </w:r>
      <w:proofErr w:type="spellEnd"/>
      <w:r w:rsidRPr="00E66949">
        <w:rPr>
          <w:rFonts w:ascii="Garamond" w:hAnsi="Garamond"/>
          <w:bCs/>
          <w:iCs/>
          <w:color w:val="000000"/>
          <w:sz w:val="20"/>
          <w:szCs w:val="20"/>
        </w:rPr>
        <w:t xml:space="preserve"> hakim, dan </w:t>
      </w:r>
      <w:proofErr w:type="spellStart"/>
      <w:r w:rsidRPr="00E66949">
        <w:rPr>
          <w:rFonts w:ascii="Garamond" w:hAnsi="Garamond"/>
          <w:bCs/>
          <w:iCs/>
          <w:color w:val="000000"/>
          <w:sz w:val="20"/>
          <w:szCs w:val="20"/>
        </w:rPr>
        <w:t>ketidaktepatan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prosedur</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Ketidaksesuaian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ini</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mengancam</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kepastian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hukum</w:t>
      </w:r>
      <w:proofErr w:type="spellEnd"/>
      <w:r w:rsidRPr="00E66949">
        <w:rPr>
          <w:rFonts w:ascii="Garamond" w:hAnsi="Garamond"/>
          <w:bCs/>
          <w:iCs/>
          <w:color w:val="000000"/>
          <w:sz w:val="20"/>
          <w:szCs w:val="20"/>
        </w:rPr>
        <w:t xml:space="preserve"> dan </w:t>
      </w:r>
      <w:proofErr w:type="spellStart"/>
      <w:r w:rsidRPr="00E66949">
        <w:rPr>
          <w:rFonts w:ascii="Garamond" w:hAnsi="Garamond"/>
          <w:bCs/>
          <w:iCs/>
          <w:color w:val="000000"/>
          <w:sz w:val="20"/>
          <w:szCs w:val="20"/>
        </w:rPr>
        <w:t>asas</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keadilan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prosedural</w:t>
      </w:r>
      <w:proofErr w:type="spellEnd"/>
      <w:r w:rsidRPr="00E66949">
        <w:rPr>
          <w:rFonts w:ascii="Garamond" w:hAnsi="Garamond"/>
          <w:bCs/>
          <w:iCs/>
          <w:color w:val="000000"/>
          <w:sz w:val="20"/>
          <w:szCs w:val="20"/>
        </w:rPr>
        <w:t xml:space="preserve">. Oleh </w:t>
      </w:r>
      <w:proofErr w:type="spellStart"/>
      <w:r w:rsidRPr="00E66949">
        <w:rPr>
          <w:rFonts w:ascii="Garamond" w:hAnsi="Garamond"/>
          <w:bCs/>
          <w:iCs/>
          <w:color w:val="000000"/>
          <w:sz w:val="20"/>
          <w:szCs w:val="20"/>
        </w:rPr>
        <w:t>karena</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itu</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diperlukan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perbaikan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terhadap</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desain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regulasi</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gugatan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sederhana</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serta</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peningkatan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kapasitas</w:t>
      </w:r>
      <w:proofErr w:type="spellEnd"/>
      <w:r w:rsidRPr="00E66949">
        <w:rPr>
          <w:rFonts w:ascii="Garamond" w:hAnsi="Garamond"/>
          <w:bCs/>
          <w:iCs/>
          <w:color w:val="000000"/>
          <w:sz w:val="20"/>
          <w:szCs w:val="20"/>
        </w:rPr>
        <w:t xml:space="preserve"> hakim </w:t>
      </w:r>
      <w:proofErr w:type="spellStart"/>
      <w:r w:rsidRPr="00E66949">
        <w:rPr>
          <w:rFonts w:ascii="Garamond" w:hAnsi="Garamond"/>
          <w:bCs/>
          <w:iCs/>
          <w:color w:val="000000"/>
          <w:sz w:val="20"/>
          <w:szCs w:val="20"/>
        </w:rPr>
        <w:t>melalui</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pelatihan</w:t>
      </w:r>
      <w:proofErr w:type="spellEnd"/>
      <w:r w:rsidRPr="00E66949">
        <w:rPr>
          <w:rFonts w:ascii="Garamond" w:hAnsi="Garamond"/>
          <w:bCs/>
          <w:iCs/>
          <w:color w:val="000000"/>
          <w:sz w:val="20"/>
          <w:szCs w:val="20"/>
        </w:rPr>
        <w:t xml:space="preserve"> dan </w:t>
      </w:r>
      <w:proofErr w:type="spellStart"/>
      <w:r w:rsidRPr="00E66949">
        <w:rPr>
          <w:rFonts w:ascii="Garamond" w:hAnsi="Garamond"/>
          <w:bCs/>
          <w:iCs/>
          <w:color w:val="000000"/>
          <w:sz w:val="20"/>
          <w:szCs w:val="20"/>
        </w:rPr>
        <w:t>pedoman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teknis</w:t>
      </w:r>
      <w:proofErr w:type="spellEnd"/>
      <w:r w:rsidRPr="00E66949">
        <w:rPr>
          <w:rFonts w:ascii="Garamond" w:hAnsi="Garamond"/>
          <w:bCs/>
          <w:iCs/>
          <w:color w:val="000000"/>
          <w:sz w:val="20"/>
          <w:szCs w:val="20"/>
        </w:rPr>
        <w:t xml:space="preserve"> yang </w:t>
      </w:r>
      <w:proofErr w:type="spellStart"/>
      <w:r w:rsidRPr="00E66949">
        <w:rPr>
          <w:rFonts w:ascii="Garamond" w:hAnsi="Garamond"/>
          <w:bCs/>
          <w:iCs/>
          <w:color w:val="000000"/>
          <w:sz w:val="20"/>
          <w:szCs w:val="20"/>
        </w:rPr>
        <w:t>lebih</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komprehensif</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untuk</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memastikan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bahwa</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tujuan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dari</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gugatan</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sederhana</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benar-benar</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tercapai</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dalam</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praktik</w:t>
      </w:r>
      <w:proofErr w:type="spellEnd"/>
      <w:r w:rsidRPr="00E66949">
        <w:rPr>
          <w:rFonts w:ascii="Garamond" w:hAnsi="Garamond"/>
          <w:bCs/>
          <w:iCs/>
          <w:color w:val="000000"/>
          <w:sz w:val="20"/>
          <w:szCs w:val="20"/>
        </w:rPr>
        <w:t xml:space="preserve"> </w:t>
      </w:r>
      <w:proofErr w:type="spellStart"/>
      <w:r w:rsidRPr="00E66949">
        <w:rPr>
          <w:rFonts w:ascii="Garamond" w:hAnsi="Garamond"/>
          <w:bCs/>
          <w:iCs/>
          <w:color w:val="000000"/>
          <w:sz w:val="20"/>
          <w:szCs w:val="20"/>
        </w:rPr>
        <w:t>peradilan</w:t>
      </w:r>
      <w:proofErr w:type="spellEnd"/>
      <w:r w:rsidRPr="00E66949">
        <w:rPr>
          <w:rFonts w:ascii="Garamond" w:hAnsi="Garamond"/>
          <w:bCs/>
          <w:iCs/>
          <w:color w:val="000000"/>
          <w:sz w:val="20"/>
          <w:szCs w:val="20"/>
        </w:rPr>
        <w:t>.</w:t>
      </w:r>
    </w:p>
    <w:p w14:paraId="3B14F7EA" w14:textId="77777777" w:rsidR="00E66949" w:rsidRPr="00E66949" w:rsidRDefault="00E66949" w:rsidP="00C52B50">
      <w:pPr>
        <w:jc w:val="both"/>
        <w:rPr>
          <w:rFonts w:ascii="Garamond" w:hAnsi="Garamond"/>
          <w:bCs/>
          <w:iCs/>
          <w:color w:val="000000"/>
          <w:sz w:val="20"/>
          <w:szCs w:val="20"/>
          <w:lang w:val="id-ID"/>
        </w:rPr>
      </w:pPr>
    </w:p>
    <w:p w14:paraId="1F7D6C89" w14:textId="77777777" w:rsidR="00E66949" w:rsidRPr="00E66949" w:rsidRDefault="00C560D7" w:rsidP="00E66949">
      <w:pPr>
        <w:pBdr>
          <w:bottom w:val="single" w:sz="4" w:space="0" w:color="auto"/>
        </w:pBdr>
        <w:rPr>
          <w:rFonts w:ascii="Garamond" w:hAnsi="Garamond"/>
          <w:color w:val="000000"/>
          <w:sz w:val="18"/>
          <w:szCs w:val="18"/>
          <w:lang w:val="id-ID"/>
        </w:rPr>
      </w:pPr>
      <w:r w:rsidRPr="005F4EC6">
        <w:rPr>
          <w:rFonts w:ascii="Garamond" w:hAnsi="Garamond"/>
          <w:b/>
          <w:i/>
          <w:color w:val="000000"/>
          <w:sz w:val="18"/>
          <w:szCs w:val="18"/>
          <w:lang w:val="fi-FI"/>
        </w:rPr>
        <w:t>Kata kunci</w:t>
      </w:r>
      <w:r w:rsidRPr="005F4EC6">
        <w:rPr>
          <w:rFonts w:ascii="Garamond" w:hAnsi="Garamond"/>
          <w:b/>
          <w:i/>
          <w:color w:val="000000"/>
          <w:sz w:val="18"/>
          <w:szCs w:val="18"/>
          <w:lang w:val="id-ID"/>
        </w:rPr>
        <w:t xml:space="preserve"> </w:t>
      </w:r>
      <w:r w:rsidR="00C52B50">
        <w:rPr>
          <w:rFonts w:ascii="Garamond" w:hAnsi="Garamond"/>
          <w:color w:val="000000"/>
          <w:sz w:val="18"/>
          <w:szCs w:val="20"/>
          <w:lang w:val="id-ID"/>
        </w:rPr>
        <w:t xml:space="preserve">: </w:t>
      </w:r>
      <w:r w:rsidRPr="005F4EC6">
        <w:rPr>
          <w:rFonts w:ascii="Garamond" w:hAnsi="Garamond"/>
          <w:color w:val="000000"/>
          <w:sz w:val="18"/>
          <w:szCs w:val="18"/>
          <w:lang w:val="id-ID"/>
        </w:rPr>
        <w:t xml:space="preserve"> </w:t>
      </w:r>
      <w:r w:rsidR="00E66949" w:rsidRPr="00E66949">
        <w:rPr>
          <w:rFonts w:ascii="Garamond" w:hAnsi="Garamond"/>
          <w:i/>
          <w:iCs/>
          <w:color w:val="000000"/>
          <w:sz w:val="18"/>
          <w:szCs w:val="18"/>
          <w:lang w:val="id-ID"/>
        </w:rPr>
        <w:t>Gugatan sederhana, kepastian hukum, akses keadilan</w:t>
      </w:r>
    </w:p>
    <w:p w14:paraId="65553EF0" w14:textId="4C796E0A" w:rsidR="00C52B50" w:rsidRDefault="00C52B50" w:rsidP="00C52B50">
      <w:pPr>
        <w:pBdr>
          <w:bottom w:val="single" w:sz="4" w:space="0" w:color="auto"/>
        </w:pBdr>
        <w:rPr>
          <w:rFonts w:ascii="Garamond" w:hAnsi="Garamond"/>
          <w:color w:val="000000"/>
          <w:sz w:val="18"/>
          <w:szCs w:val="18"/>
          <w:lang w:val="en-ID"/>
        </w:rPr>
      </w:pPr>
    </w:p>
    <w:p w14:paraId="3DA6D893" w14:textId="77777777" w:rsidR="00E66949" w:rsidRDefault="00E66949" w:rsidP="00C52B50">
      <w:pPr>
        <w:pBdr>
          <w:bottom w:val="single" w:sz="4" w:space="0" w:color="auto"/>
        </w:pBdr>
        <w:rPr>
          <w:rFonts w:ascii="Garamond" w:hAnsi="Garamond"/>
          <w:color w:val="000000"/>
          <w:sz w:val="18"/>
          <w:szCs w:val="18"/>
          <w:lang w:val="en-ID"/>
        </w:rPr>
      </w:pPr>
    </w:p>
    <w:p w14:paraId="6296A612" w14:textId="77777777" w:rsidR="00E66949" w:rsidRDefault="00E66949" w:rsidP="00C52B50">
      <w:pPr>
        <w:pBdr>
          <w:bottom w:val="single" w:sz="4" w:space="0" w:color="auto"/>
        </w:pBdr>
        <w:rPr>
          <w:rFonts w:ascii="Garamond" w:hAnsi="Garamond"/>
          <w:color w:val="000000"/>
          <w:sz w:val="18"/>
          <w:szCs w:val="18"/>
          <w:lang w:val="en-ID"/>
        </w:rPr>
      </w:pPr>
    </w:p>
    <w:p w14:paraId="3DAF5B40" w14:textId="77777777" w:rsidR="00E66949" w:rsidRDefault="00E66949" w:rsidP="00C52B50">
      <w:pPr>
        <w:pBdr>
          <w:bottom w:val="single" w:sz="4" w:space="0" w:color="auto"/>
        </w:pBdr>
        <w:rPr>
          <w:rFonts w:ascii="Garamond" w:hAnsi="Garamond"/>
          <w:color w:val="000000"/>
          <w:sz w:val="18"/>
          <w:szCs w:val="18"/>
          <w:lang w:val="en-ID"/>
        </w:rPr>
      </w:pPr>
    </w:p>
    <w:p w14:paraId="4FD4963E" w14:textId="77777777" w:rsidR="00E66949" w:rsidRPr="00C52B50" w:rsidRDefault="00E66949" w:rsidP="00C52B50">
      <w:pPr>
        <w:pBdr>
          <w:bottom w:val="single" w:sz="4" w:space="0" w:color="auto"/>
        </w:pBdr>
        <w:rPr>
          <w:rFonts w:ascii="Garamond" w:hAnsi="Garamond"/>
          <w:color w:val="000000"/>
          <w:sz w:val="18"/>
          <w:szCs w:val="18"/>
          <w:lang w:val="en-ID"/>
        </w:rPr>
      </w:pPr>
    </w:p>
    <w:p w14:paraId="34920B85" w14:textId="58458C1E" w:rsidR="00C52B50" w:rsidRDefault="00C52B50" w:rsidP="005F4EC6">
      <w:pPr>
        <w:pBdr>
          <w:bottom w:val="single" w:sz="4" w:space="0" w:color="auto"/>
        </w:pBdr>
        <w:jc w:val="both"/>
        <w:rPr>
          <w:rStyle w:val="longtext"/>
          <w:rFonts w:ascii="Garamond" w:hAnsi="Garamond"/>
          <w:sz w:val="18"/>
          <w:szCs w:val="18"/>
          <w:shd w:val="clear" w:color="auto" w:fill="FFFFFF"/>
          <w:lang w:val="id-ID"/>
        </w:rPr>
      </w:pPr>
    </w:p>
    <w:p w14:paraId="0BD485B8" w14:textId="36F49E2F" w:rsidR="00876DB9" w:rsidRPr="004E0E6F" w:rsidRDefault="004E0E6F" w:rsidP="004E0E6F">
      <w:pPr>
        <w:pBdr>
          <w:bottom w:val="single" w:sz="4" w:space="0" w:color="auto"/>
        </w:pBdr>
        <w:jc w:val="both"/>
        <w:rPr>
          <w:rFonts w:ascii="Garamond" w:hAnsi="Garamond"/>
          <w:sz w:val="18"/>
          <w:szCs w:val="18"/>
          <w:shd w:val="clear" w:color="auto" w:fill="FFFFFF"/>
          <w:lang w:val="id-ID"/>
        </w:rPr>
        <w:sectPr w:rsidR="00876DB9" w:rsidRPr="004E0E6F">
          <w:headerReference w:type="even" r:id="rId7"/>
          <w:headerReference w:type="default" r:id="rId8"/>
          <w:footnotePr>
            <w:pos w:val="beneathText"/>
          </w:footnotePr>
          <w:pgSz w:w="11905" w:h="16837"/>
          <w:pgMar w:top="1701" w:right="1418" w:bottom="1418" w:left="1418" w:header="720" w:footer="720" w:gutter="0"/>
          <w:cols w:space="720"/>
          <w:docGrid w:linePitch="360"/>
        </w:sectPr>
      </w:pPr>
      <w:r w:rsidRPr="005F4EC6">
        <w:rPr>
          <w:rFonts w:ascii="Garamond" w:hAnsi="Garamond"/>
          <w:i/>
          <w:iCs/>
          <w:noProof/>
          <w:color w:val="000000"/>
          <w:sz w:val="20"/>
          <w:szCs w:val="20"/>
          <w:lang w:eastAsia="en-US"/>
        </w:rPr>
        <mc:AlternateContent>
          <mc:Choice Requires="wps">
            <w:drawing>
              <wp:anchor distT="0" distB="0" distL="114300" distR="114300" simplePos="0" relativeHeight="251660288" behindDoc="0" locked="0" layoutInCell="1" allowOverlap="1" wp14:anchorId="1395161D" wp14:editId="2777256C">
                <wp:simplePos x="0" y="0"/>
                <wp:positionH relativeFrom="column">
                  <wp:posOffset>-49848</wp:posOffset>
                </wp:positionH>
                <wp:positionV relativeFrom="paragraph">
                  <wp:posOffset>274955</wp:posOffset>
                </wp:positionV>
                <wp:extent cx="2910205" cy="251460"/>
                <wp:effectExtent l="1905" t="0" r="254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205" cy="251460"/>
                        </a:xfrm>
                        <a:prstGeom prst="rect">
                          <a:avLst/>
                        </a:prstGeom>
                        <a:noFill/>
                        <a:ln>
                          <a:noFill/>
                        </a:ln>
                      </wps:spPr>
                      <wps:txbx>
                        <w:txbxContent>
                          <w:p w14:paraId="03A78E97" w14:textId="3CE09037" w:rsidR="00876DB9" w:rsidRDefault="00C560D7">
                            <w:pPr>
                              <w:pBdr>
                                <w:top w:val="single" w:sz="4" w:space="1" w:color="auto"/>
                              </w:pBdr>
                              <w:tabs>
                                <w:tab w:val="left" w:pos="0"/>
                              </w:tabs>
                              <w:autoSpaceDE w:val="0"/>
                              <w:rPr>
                                <w:color w:val="000000"/>
                                <w:sz w:val="18"/>
                                <w:szCs w:val="18"/>
                                <w:lang w:val="en-GB"/>
                              </w:rPr>
                            </w:pPr>
                            <w:r>
                              <w:rPr>
                                <w:color w:val="000000"/>
                                <w:sz w:val="18"/>
                                <w:szCs w:val="18"/>
                                <w:lang w:val="sv-SE"/>
                              </w:rPr>
                              <w:t xml:space="preserve">*) Penulis korespondensi: </w:t>
                            </w:r>
                            <w:r w:rsidR="00E66949">
                              <w:rPr>
                                <w:color w:val="000000"/>
                                <w:sz w:val="18"/>
                                <w:szCs w:val="18"/>
                                <w:lang w:val="en-GB"/>
                              </w:rPr>
                              <w:t>chandera.halim01@gmail.com</w:t>
                            </w:r>
                          </w:p>
                          <w:p w14:paraId="4E15E5C3" w14:textId="77777777" w:rsidR="00876DB9" w:rsidRDefault="00876DB9">
                            <w:pPr>
                              <w:rPr>
                                <w:sz w:val="18"/>
                                <w:szCs w:val="18"/>
                              </w:rPr>
                            </w:pPr>
                          </w:p>
                        </w:txbxContent>
                      </wps:txbx>
                      <wps:bodyPr rot="0" vert="horz" wrap="square" lIns="91440" tIns="45720" rIns="91440" bIns="45720" anchor="t" anchorCtr="0" upright="1">
                        <a:noAutofit/>
                      </wps:bodyPr>
                    </wps:wsp>
                  </a:graphicData>
                </a:graphic>
              </wp:anchor>
            </w:drawing>
          </mc:Choice>
          <mc:Fallback>
            <w:pict>
              <v:shapetype w14:anchorId="1395161D" id="_x0000_t202" coordsize="21600,21600" o:spt="202" path="m,l,21600r21600,l21600,xe">
                <v:stroke joinstyle="miter"/>
                <v:path gradientshapeok="t" o:connecttype="rect"/>
              </v:shapetype>
              <v:shape id="Text Box 12" o:spid="_x0000_s1026" type="#_x0000_t202" style="position:absolute;left:0;text-align:left;margin-left:-3.95pt;margin-top:21.65pt;width:229.15pt;height:19.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" filled="f" stroked="f">
                <v:textbox>
                  <w:txbxContent>
                    <w:p w14:paraId="03A78E97" w14:textId="3CE09037" w:rsidR="00876DB9" w:rsidRDefault="00C560D7">
                      <w:pPr>
                        <w:pBdr>
                          <w:top w:val="single" w:sz="4" w:space="1" w:color="auto"/>
                        </w:pBdr>
                        <w:tabs>
                          <w:tab w:val="left" w:pos="0"/>
                        </w:tabs>
                        <w:autoSpaceDE w:val="0"/>
                        <w:rPr>
                          <w:color w:val="000000"/>
                          <w:sz w:val="18"/>
                          <w:szCs w:val="18"/>
                          <w:lang w:val="en-GB"/>
                        </w:rPr>
                      </w:pPr>
                      <w:r>
                        <w:rPr>
                          <w:color w:val="000000"/>
                          <w:sz w:val="18"/>
                          <w:szCs w:val="18"/>
                          <w:lang w:val="sv-SE"/>
                        </w:rPr>
                        <w:t xml:space="preserve">*) Penulis korespondensi: </w:t>
                      </w:r>
                      <w:r w:rsidR="00E66949">
                        <w:rPr>
                          <w:color w:val="000000"/>
                          <w:sz w:val="18"/>
                          <w:szCs w:val="18"/>
                          <w:lang w:val="en-GB"/>
                        </w:rPr>
                        <w:t>chandera.halim01@gmail.com</w:t>
                      </w:r>
                    </w:p>
                    <w:p w14:paraId="4E15E5C3" w14:textId="77777777" w:rsidR="00876DB9" w:rsidRDefault="00876DB9">
                      <w:pPr>
                        <w:rPr>
                          <w:sz w:val="18"/>
                          <w:szCs w:val="18"/>
                        </w:rPr>
                      </w:pPr>
                    </w:p>
                  </w:txbxContent>
                </v:textbox>
              </v:shape>
            </w:pict>
          </mc:Fallback>
        </mc:AlternateContent>
      </w:r>
    </w:p>
    <w:p w14:paraId="2F9269B5" w14:textId="2CC02D06" w:rsidR="00876DB9" w:rsidRPr="00E66949" w:rsidRDefault="00C560D7" w:rsidP="00E66949">
      <w:pPr>
        <w:autoSpaceDE w:val="0"/>
        <w:jc w:val="both"/>
        <w:rPr>
          <w:rFonts w:ascii="Garamond" w:hAnsi="Garamond"/>
          <w:b/>
          <w:color w:val="000000"/>
          <w:sz w:val="20"/>
          <w:szCs w:val="20"/>
          <w:lang w:val="fi-FI"/>
        </w:rPr>
      </w:pPr>
      <w:r w:rsidRPr="005F4EC6">
        <w:rPr>
          <w:rFonts w:ascii="Garamond" w:hAnsi="Garamond"/>
          <w:b/>
          <w:color w:val="000000"/>
          <w:sz w:val="20"/>
          <w:szCs w:val="20"/>
          <w:lang w:val="id-ID"/>
        </w:rPr>
        <w:lastRenderedPageBreak/>
        <w:t>1</w:t>
      </w:r>
      <w:r w:rsidRPr="005F4EC6">
        <w:rPr>
          <w:rFonts w:ascii="Garamond" w:hAnsi="Garamond"/>
          <w:b/>
          <w:color w:val="000000"/>
          <w:sz w:val="20"/>
          <w:szCs w:val="20"/>
          <w:lang w:val="fi-FI"/>
        </w:rPr>
        <w:t>.  Pendahuluan</w:t>
      </w:r>
    </w:p>
    <w:p w14:paraId="541EDD05" w14:textId="77777777" w:rsidR="00E66949" w:rsidRPr="00E66949" w:rsidRDefault="00E66949" w:rsidP="00E66949">
      <w:pPr>
        <w:autoSpaceDE w:val="0"/>
        <w:ind w:firstLine="284"/>
        <w:jc w:val="both"/>
        <w:rPr>
          <w:rFonts w:ascii="Garamond" w:hAnsi="Garamond"/>
          <w:sz w:val="20"/>
          <w:szCs w:val="20"/>
          <w:lang w:val="id-ID"/>
        </w:rPr>
      </w:pPr>
      <w:r w:rsidRPr="00E66949">
        <w:rPr>
          <w:rFonts w:ascii="Garamond" w:hAnsi="Garamond"/>
          <w:sz w:val="20"/>
          <w:szCs w:val="20"/>
          <w:lang w:val="id-ID"/>
        </w:rPr>
        <w:t>Salah satu tantangan utama dalam sistem peradilan perdata Indonesia adalah lambannya proses penyelesaian sengketa, terutama bagi perkara dengan nilai tuntutan yang rendah namun berimplikasi signifikan terhadap akses keadilan masyarakat kecil. Guna menjawab persoalan tersebut, Mahkamah Agung telah menerbitkan Peraturan Mahkamah Agung (</w:t>
      </w:r>
      <w:proofErr w:type="spellStart"/>
      <w:r w:rsidRPr="00E66949">
        <w:rPr>
          <w:rFonts w:ascii="Garamond" w:hAnsi="Garamond"/>
          <w:sz w:val="20"/>
          <w:szCs w:val="20"/>
          <w:lang w:val="id-ID"/>
        </w:rPr>
        <w:t>Perma</w:t>
      </w:r>
      <w:proofErr w:type="spellEnd"/>
      <w:r w:rsidRPr="00E66949">
        <w:rPr>
          <w:rFonts w:ascii="Garamond" w:hAnsi="Garamond"/>
          <w:sz w:val="20"/>
          <w:szCs w:val="20"/>
          <w:lang w:val="id-ID"/>
        </w:rPr>
        <w:t xml:space="preserve">) No. 2 Tahun 2015 tentang Tata Cara Penyelesaian Gugatan Sederhana, yang kemudian disempurnakan melalui </w:t>
      </w:r>
      <w:proofErr w:type="spellStart"/>
      <w:r w:rsidRPr="00E66949">
        <w:rPr>
          <w:rFonts w:ascii="Garamond" w:hAnsi="Garamond"/>
          <w:sz w:val="20"/>
          <w:szCs w:val="20"/>
          <w:lang w:val="id-ID"/>
        </w:rPr>
        <w:t>Perma</w:t>
      </w:r>
      <w:proofErr w:type="spellEnd"/>
      <w:r w:rsidRPr="00E66949">
        <w:rPr>
          <w:rFonts w:ascii="Garamond" w:hAnsi="Garamond"/>
          <w:sz w:val="20"/>
          <w:szCs w:val="20"/>
          <w:lang w:val="id-ID"/>
        </w:rPr>
        <w:t xml:space="preserve"> No. 4 Tahun 2019. Gugatan sederhana dimaksudkan sebagai instrumen untuk mempercepat proses peradilan dengan tetap menjamin keadilan substantif, khususnya dalam perkara perdata dengan nilai gugatan maksimal Rp500 juta serta tanpa memerlukan pembuktian yang kompleks (Sihombing, 2021).</w:t>
      </w:r>
    </w:p>
    <w:p w14:paraId="3F11F949" w14:textId="77777777" w:rsidR="00E66949" w:rsidRPr="00E66949" w:rsidRDefault="00E66949" w:rsidP="00E66949">
      <w:pPr>
        <w:autoSpaceDE w:val="0"/>
        <w:ind w:firstLine="284"/>
        <w:jc w:val="both"/>
        <w:rPr>
          <w:rFonts w:ascii="Garamond" w:hAnsi="Garamond"/>
          <w:sz w:val="20"/>
          <w:szCs w:val="20"/>
          <w:lang w:val="id-ID"/>
        </w:rPr>
      </w:pPr>
      <w:r w:rsidRPr="00E66949">
        <w:rPr>
          <w:rFonts w:ascii="Garamond" w:hAnsi="Garamond"/>
          <w:sz w:val="20"/>
          <w:szCs w:val="20"/>
          <w:lang w:val="id-ID"/>
        </w:rPr>
        <w:t xml:space="preserve">Meski secara normatif pengaturan gugatan sederhana terkesan ideal dan responsif terhadap kebutuhan masyarakat pencari keadilan, praktiknya di lapangan masih menyisakan banyak persoalan. Beberapa temuan lapangan menunjukkan bahwa hakim </w:t>
      </w:r>
      <w:proofErr w:type="spellStart"/>
      <w:r w:rsidRPr="00E66949">
        <w:rPr>
          <w:rFonts w:ascii="Garamond" w:hAnsi="Garamond"/>
          <w:sz w:val="20"/>
          <w:szCs w:val="20"/>
          <w:lang w:val="id-ID"/>
        </w:rPr>
        <w:t>seringkali</w:t>
      </w:r>
      <w:proofErr w:type="spellEnd"/>
      <w:r w:rsidRPr="00E66949">
        <w:rPr>
          <w:rFonts w:ascii="Garamond" w:hAnsi="Garamond"/>
          <w:sz w:val="20"/>
          <w:szCs w:val="20"/>
          <w:lang w:val="id-ID"/>
        </w:rPr>
        <w:t xml:space="preserve"> enggan mengklasifikasikan perkara sebagai gugatan sederhana karena adanya ketidakpastian parameter “pembuktian sederhana” (Yulianti &amp; Prabowo, 2022). Selain itu, para pihak, khususnya tergugat, tidak jarang mempersoalkan keputusan pengadilan karena merasa tidak mendapatkan kesempatan pembelaan yang memadai dalam proses yang dipersingkat, sehingga mengajukan upaya hukum keberatan yang kemudian memperpanjang proses dan bertentangan dengan asas cepat dan sederhana (Ramadhani, 2023).</w:t>
      </w:r>
    </w:p>
    <w:p w14:paraId="2F9531A6" w14:textId="77777777" w:rsidR="00E66949" w:rsidRPr="00E66949" w:rsidRDefault="00E66949" w:rsidP="00E66949">
      <w:pPr>
        <w:autoSpaceDE w:val="0"/>
        <w:ind w:firstLine="284"/>
        <w:jc w:val="both"/>
        <w:rPr>
          <w:rFonts w:ascii="Garamond" w:hAnsi="Garamond"/>
          <w:sz w:val="20"/>
          <w:szCs w:val="20"/>
          <w:lang w:val="id-ID"/>
        </w:rPr>
      </w:pPr>
      <w:r w:rsidRPr="00E66949">
        <w:rPr>
          <w:rFonts w:ascii="Garamond" w:hAnsi="Garamond"/>
          <w:sz w:val="20"/>
          <w:szCs w:val="20"/>
          <w:lang w:val="id-ID"/>
        </w:rPr>
        <w:t>Di sisi lain, pendekatan gugatan sederhana belum diimbangi dengan kesiapan administratif dan teknis di pengadilan. Beberapa kantor Pengadilan Negeri masih belum memiliki sistem manajemen perkara yang memadai untuk memisahkan jalur perkara biasa dan gugatan sederhana secara efisien. Padahal, instrumen ini dapat menjadi strategi pembaruan hukum acara perdata yang mendekatkan peradilan kepada masyarakat, mengingat sebagian besar sengketa perdata domestik berkaitan dengan pinjam-meminjam, wanprestasi, atau sewa-menyewa dalam jumlah kecil (Nurhidayah, 2020).</w:t>
      </w:r>
    </w:p>
    <w:p w14:paraId="099E75C4" w14:textId="77777777" w:rsidR="00E66949" w:rsidRPr="00E66949" w:rsidRDefault="00E66949" w:rsidP="00E66949">
      <w:pPr>
        <w:autoSpaceDE w:val="0"/>
        <w:ind w:firstLine="284"/>
        <w:jc w:val="both"/>
        <w:rPr>
          <w:rFonts w:ascii="Garamond" w:hAnsi="Garamond"/>
          <w:sz w:val="20"/>
          <w:szCs w:val="20"/>
          <w:lang w:val="id-ID"/>
        </w:rPr>
      </w:pPr>
      <w:r w:rsidRPr="00E66949">
        <w:rPr>
          <w:rFonts w:ascii="Garamond" w:hAnsi="Garamond"/>
          <w:sz w:val="20"/>
          <w:szCs w:val="20"/>
          <w:lang w:val="id-ID"/>
        </w:rPr>
        <w:t>Kehadiran gugatan sederhana sejatinya merupakan refleksi dari semangat reformasi peradilan yang mengedepankan prinsip keadilan yang mudah diakses, sederhana, dan murah. Namun jika regulasi ini tidak dibarengi dengan keseragaman interpretasi hakim dan peningkatan kapasitas kelembagaan pengadilan, maka tujuan utamanya akan tereduksi menjadi sekadar prosedur formal tanpa efektivitas nyata (Santoso, 2021). Oleh karena itu, penting untuk melakukan evaluasi kritis terhadap efektivitas dan implementasi gugatan sederhana dalam praktik hukum acara perdata di Indonesia.</w:t>
      </w:r>
    </w:p>
    <w:p w14:paraId="7958C016" w14:textId="638C15DF" w:rsidR="00876DB9" w:rsidRDefault="00E66949" w:rsidP="00E66949">
      <w:pPr>
        <w:autoSpaceDE w:val="0"/>
        <w:ind w:firstLine="284"/>
        <w:jc w:val="both"/>
        <w:rPr>
          <w:rFonts w:ascii="Garamond" w:hAnsi="Garamond"/>
          <w:sz w:val="20"/>
          <w:szCs w:val="20"/>
          <w:lang w:val="id-ID"/>
        </w:rPr>
      </w:pPr>
      <w:r w:rsidRPr="00E66949">
        <w:rPr>
          <w:rFonts w:ascii="Garamond" w:hAnsi="Garamond"/>
          <w:sz w:val="20"/>
          <w:szCs w:val="20"/>
          <w:lang w:val="id-ID"/>
        </w:rPr>
        <w:t>Penelitian ini berangkat dari asumsi bahwa gugatan sederhana tidak hanya persoalan teknis prosedural, tetapi berkaitan erat dengan filosofi keadilan prosedural dan kepastian hukum. Dengan menggunakan pendekatan yuridis-normatif dan dilengkapi data sekunder dari putusan pengadilan serta wawancara dengan aparat peradilan, studi ini bertujuan mengidentifikasi hambatan serta memberikan formulasi konseptual terhadap rekonstruksi gugatan sederhana sebagai bentuk reformasi hukum acara perdata yang progresif.</w:t>
      </w:r>
    </w:p>
    <w:p w14:paraId="197A8365" w14:textId="77777777" w:rsidR="00E66949" w:rsidRPr="00E66949" w:rsidRDefault="00E66949" w:rsidP="00E66949">
      <w:pPr>
        <w:autoSpaceDE w:val="0"/>
        <w:ind w:firstLine="284"/>
        <w:jc w:val="both"/>
        <w:rPr>
          <w:rFonts w:ascii="Garamond" w:hAnsi="Garamond"/>
          <w:sz w:val="20"/>
          <w:szCs w:val="20"/>
          <w:lang w:val="id-ID"/>
        </w:rPr>
      </w:pPr>
    </w:p>
    <w:p w14:paraId="658EC4BD" w14:textId="122148AD" w:rsidR="00876DB9" w:rsidRPr="00E66949" w:rsidRDefault="00E66949" w:rsidP="00E66949">
      <w:pPr>
        <w:autoSpaceDE w:val="0"/>
        <w:jc w:val="both"/>
        <w:rPr>
          <w:rFonts w:ascii="Garamond" w:hAnsi="Garamond"/>
          <w:b/>
          <w:color w:val="000000"/>
          <w:sz w:val="20"/>
          <w:szCs w:val="20"/>
          <w:lang w:val="fi-FI"/>
        </w:rPr>
      </w:pPr>
      <w:r>
        <w:rPr>
          <w:rFonts w:ascii="Garamond" w:hAnsi="Garamond"/>
          <w:b/>
          <w:color w:val="000000"/>
          <w:sz w:val="20"/>
          <w:szCs w:val="20"/>
          <w:lang w:val="id-ID"/>
        </w:rPr>
        <w:t>2</w:t>
      </w:r>
      <w:r w:rsidR="00C560D7" w:rsidRPr="005F4EC6">
        <w:rPr>
          <w:rFonts w:ascii="Garamond" w:hAnsi="Garamond"/>
          <w:b/>
          <w:color w:val="000000"/>
          <w:sz w:val="20"/>
          <w:szCs w:val="20"/>
          <w:lang w:val="fi-FI"/>
        </w:rPr>
        <w:t xml:space="preserve">.  Metode </w:t>
      </w:r>
    </w:p>
    <w:p w14:paraId="3BCD9339" w14:textId="77777777" w:rsidR="00E66949" w:rsidRPr="00E66949" w:rsidRDefault="00E66949" w:rsidP="00E66949">
      <w:pPr>
        <w:tabs>
          <w:tab w:val="left" w:pos="284"/>
        </w:tabs>
        <w:ind w:firstLine="284"/>
        <w:jc w:val="both"/>
        <w:rPr>
          <w:rFonts w:ascii="Garamond" w:hAnsi="Garamond"/>
          <w:sz w:val="20"/>
          <w:szCs w:val="20"/>
          <w:lang w:val="id-ID"/>
        </w:rPr>
      </w:pPr>
      <w:r w:rsidRPr="00E66949">
        <w:rPr>
          <w:rFonts w:ascii="Garamond" w:hAnsi="Garamond"/>
          <w:sz w:val="20"/>
          <w:szCs w:val="20"/>
          <w:lang w:val="id-ID"/>
        </w:rPr>
        <w:t>Penelitian ini menggunakan pendekatan yuridis normatif, yaitu pendekatan yang didasarkan pada penelaahan terhadap norma hukum yang berlaku, termasuk peraturan perundang-undangan, doktrin hukum, serta putusan pengadilan yang relevan dengan penerapan gugatan sederhana dalam hukum acara perdata di Indonesia (Sihombing, 2021). Pendekatan ini dipilih untuk menganalisis secara sistematis efektivitas pengaturan hukum mengenai gugatan sederhana dalam mewujudkan asas peradilan yang sederhana, cepat, dan biaya ringan.</w:t>
      </w:r>
    </w:p>
    <w:p w14:paraId="5895CC85" w14:textId="77777777" w:rsidR="00E66949" w:rsidRPr="00E66949" w:rsidRDefault="00E66949" w:rsidP="00E66949">
      <w:pPr>
        <w:tabs>
          <w:tab w:val="left" w:pos="284"/>
        </w:tabs>
        <w:ind w:firstLine="284"/>
        <w:jc w:val="both"/>
        <w:rPr>
          <w:rFonts w:ascii="Garamond" w:hAnsi="Garamond"/>
          <w:sz w:val="20"/>
          <w:szCs w:val="20"/>
          <w:lang w:val="id-ID"/>
        </w:rPr>
      </w:pPr>
      <w:r w:rsidRPr="00E66949">
        <w:rPr>
          <w:rFonts w:ascii="Garamond" w:hAnsi="Garamond"/>
          <w:sz w:val="20"/>
          <w:szCs w:val="20"/>
          <w:lang w:val="id-ID"/>
        </w:rPr>
        <w:t>Sumber data yang digunakan adalah data hukum sekunder yang meliputi bahan hukum primer (</w:t>
      </w:r>
      <w:proofErr w:type="spellStart"/>
      <w:r w:rsidRPr="00E66949">
        <w:rPr>
          <w:rFonts w:ascii="Garamond" w:hAnsi="Garamond"/>
          <w:sz w:val="20"/>
          <w:szCs w:val="20"/>
          <w:lang w:val="id-ID"/>
        </w:rPr>
        <w:t>Perma</w:t>
      </w:r>
      <w:proofErr w:type="spellEnd"/>
      <w:r w:rsidRPr="00E66949">
        <w:rPr>
          <w:rFonts w:ascii="Garamond" w:hAnsi="Garamond"/>
          <w:sz w:val="20"/>
          <w:szCs w:val="20"/>
          <w:lang w:val="id-ID"/>
        </w:rPr>
        <w:t xml:space="preserve"> No. 4 Tahun 2019, KUH Perdata, dan peraturan lain yang terkait), bahan hukum sekunder (buku, jurnal, dan pendapat para ahli hukum), serta bahan hukum tersier (kamus hukum dan ensiklopedia hukum) (Yulianti &amp; Prabowo, 2022). Data diperoleh melalui studi kepustakaan (</w:t>
      </w:r>
      <w:proofErr w:type="spellStart"/>
      <w:r w:rsidRPr="00E66949">
        <w:rPr>
          <w:rFonts w:ascii="Garamond" w:hAnsi="Garamond"/>
          <w:sz w:val="20"/>
          <w:szCs w:val="20"/>
          <w:lang w:val="id-ID"/>
        </w:rPr>
        <w:t>library</w:t>
      </w:r>
      <w:proofErr w:type="spellEnd"/>
      <w:r w:rsidRPr="00E66949">
        <w:rPr>
          <w:rFonts w:ascii="Garamond" w:hAnsi="Garamond"/>
          <w:sz w:val="20"/>
          <w:szCs w:val="20"/>
          <w:lang w:val="id-ID"/>
        </w:rPr>
        <w:t xml:space="preserve"> </w:t>
      </w:r>
      <w:proofErr w:type="spellStart"/>
      <w:r w:rsidRPr="00E66949">
        <w:rPr>
          <w:rFonts w:ascii="Garamond" w:hAnsi="Garamond"/>
          <w:sz w:val="20"/>
          <w:szCs w:val="20"/>
          <w:lang w:val="id-ID"/>
        </w:rPr>
        <w:t>research</w:t>
      </w:r>
      <w:proofErr w:type="spellEnd"/>
      <w:r w:rsidRPr="00E66949">
        <w:rPr>
          <w:rFonts w:ascii="Garamond" w:hAnsi="Garamond"/>
          <w:sz w:val="20"/>
          <w:szCs w:val="20"/>
          <w:lang w:val="id-ID"/>
        </w:rPr>
        <w:t>) dengan menelaah dan mengkaji literatur hukum yang relevan.</w:t>
      </w:r>
    </w:p>
    <w:p w14:paraId="05D3E9DB" w14:textId="77777777" w:rsidR="00E66949" w:rsidRPr="00E66949" w:rsidRDefault="00E66949" w:rsidP="00E66949">
      <w:pPr>
        <w:tabs>
          <w:tab w:val="left" w:pos="284"/>
        </w:tabs>
        <w:ind w:firstLine="284"/>
        <w:jc w:val="both"/>
        <w:rPr>
          <w:rFonts w:ascii="Garamond" w:hAnsi="Garamond"/>
          <w:sz w:val="20"/>
          <w:szCs w:val="20"/>
          <w:lang w:val="id-ID"/>
        </w:rPr>
      </w:pPr>
      <w:r w:rsidRPr="00E66949">
        <w:rPr>
          <w:rFonts w:ascii="Garamond" w:hAnsi="Garamond"/>
          <w:sz w:val="20"/>
          <w:szCs w:val="20"/>
          <w:lang w:val="id-ID"/>
        </w:rPr>
        <w:t>Teknik analisis data dilakukan secara kualitatif, dengan pendekatan deduktif, yaitu menarik kesimpulan dari norma hukum yang bersifat umum menuju aplikasi yang spesifik dalam konteks penerapan gugatan sederhana (Nurhidayah, 2020). Selain itu, penelitian ini juga mengkaji putusan-putusan pengadilan yang menggunakan mekanisme gugatan sederhana dan menelusuri efektivitasnya dalam penyelesaian sengketa perdata ringan.</w:t>
      </w:r>
    </w:p>
    <w:p w14:paraId="311E7EFF" w14:textId="0CAA93BA" w:rsidR="00876DB9" w:rsidRDefault="00E66949" w:rsidP="00E66949">
      <w:pPr>
        <w:tabs>
          <w:tab w:val="left" w:pos="284"/>
        </w:tabs>
        <w:ind w:firstLine="284"/>
        <w:jc w:val="both"/>
        <w:rPr>
          <w:rFonts w:ascii="Garamond" w:hAnsi="Garamond"/>
          <w:sz w:val="20"/>
          <w:szCs w:val="20"/>
          <w:lang w:val="id-ID"/>
        </w:rPr>
      </w:pPr>
      <w:r w:rsidRPr="00E66949">
        <w:rPr>
          <w:rFonts w:ascii="Garamond" w:hAnsi="Garamond"/>
          <w:sz w:val="20"/>
          <w:szCs w:val="20"/>
          <w:lang w:val="id-ID"/>
        </w:rPr>
        <w:t xml:space="preserve">Studi ini bersifat deskriptif-analitis, yang bertujuan menggambarkan kondisi objektif penerapan gugatan sederhana serta menganalisis implikasinya terhadap akses keadilan dan kepastian hukum bagi para pencari keadilan di tingkat pertama (Ramadhani, 2023). Dengan metode ini, diharapkan dapat diperoleh pemahaman yang utuh mengenai permasalahan </w:t>
      </w:r>
      <w:proofErr w:type="spellStart"/>
      <w:r w:rsidRPr="00E66949">
        <w:rPr>
          <w:rFonts w:ascii="Garamond" w:hAnsi="Garamond"/>
          <w:sz w:val="20"/>
          <w:szCs w:val="20"/>
          <w:lang w:val="id-ID"/>
        </w:rPr>
        <w:t>implementatif</w:t>
      </w:r>
      <w:proofErr w:type="spellEnd"/>
      <w:r w:rsidRPr="00E66949">
        <w:rPr>
          <w:rFonts w:ascii="Garamond" w:hAnsi="Garamond"/>
          <w:sz w:val="20"/>
          <w:szCs w:val="20"/>
          <w:lang w:val="id-ID"/>
        </w:rPr>
        <w:t xml:space="preserve"> dan konseptual yang dihadapi dalam praktik gugatan sederhana di Indonesia.</w:t>
      </w:r>
    </w:p>
    <w:p w14:paraId="0ECFD07B" w14:textId="77777777" w:rsidR="00E66949" w:rsidRPr="00E66949" w:rsidRDefault="00E66949" w:rsidP="00E66949">
      <w:pPr>
        <w:tabs>
          <w:tab w:val="left" w:pos="284"/>
        </w:tabs>
        <w:ind w:firstLine="284"/>
        <w:jc w:val="both"/>
        <w:rPr>
          <w:rFonts w:ascii="Garamond" w:hAnsi="Garamond"/>
          <w:sz w:val="20"/>
          <w:szCs w:val="20"/>
          <w:lang w:val="id-ID"/>
        </w:rPr>
      </w:pPr>
    </w:p>
    <w:p w14:paraId="79FACB88" w14:textId="75AD65E7" w:rsidR="00876DB9" w:rsidRPr="005F4EC6" w:rsidRDefault="00E66949" w:rsidP="005F4EC6">
      <w:pPr>
        <w:autoSpaceDE w:val="0"/>
        <w:jc w:val="both"/>
        <w:rPr>
          <w:rFonts w:ascii="Garamond" w:hAnsi="Garamond"/>
          <w:b/>
          <w:color w:val="000000"/>
          <w:sz w:val="16"/>
          <w:szCs w:val="16"/>
          <w:lang w:val="fi-FI"/>
        </w:rPr>
      </w:pPr>
      <w:r>
        <w:rPr>
          <w:rFonts w:ascii="Garamond" w:hAnsi="Garamond"/>
          <w:b/>
          <w:color w:val="000000"/>
          <w:sz w:val="20"/>
          <w:szCs w:val="20"/>
          <w:lang w:val="id-ID"/>
        </w:rPr>
        <w:t>3</w:t>
      </w:r>
      <w:r w:rsidR="00C560D7" w:rsidRPr="005F4EC6">
        <w:rPr>
          <w:rFonts w:ascii="Garamond" w:hAnsi="Garamond"/>
          <w:b/>
          <w:color w:val="000000"/>
          <w:sz w:val="20"/>
          <w:szCs w:val="20"/>
          <w:lang w:val="fi-FI"/>
        </w:rPr>
        <w:t>.  Hasil dan Pembahasan</w:t>
      </w:r>
    </w:p>
    <w:p w14:paraId="004B07FC"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 xml:space="preserve">Gugatan sederhana merupakan salah satu bentuk pembaruan dalam hukum acara perdata di Indonesia yang bertujuan untuk menciptakan proses peradilan yang cepat, sederhana, dan berbiaya ringan, sebagaimana diamanatkan dalam Pasal 2 ayat (4) </w:t>
      </w:r>
      <w:proofErr w:type="spellStart"/>
      <w:r w:rsidRPr="007B0278">
        <w:rPr>
          <w:rFonts w:ascii="Garamond" w:hAnsi="Garamond"/>
          <w:sz w:val="20"/>
          <w:szCs w:val="20"/>
          <w:lang w:val="id-ID"/>
        </w:rPr>
        <w:t>Undang-Undang</w:t>
      </w:r>
      <w:proofErr w:type="spellEnd"/>
      <w:r w:rsidRPr="007B0278">
        <w:rPr>
          <w:rFonts w:ascii="Garamond" w:hAnsi="Garamond"/>
          <w:sz w:val="20"/>
          <w:szCs w:val="20"/>
          <w:lang w:val="id-ID"/>
        </w:rPr>
        <w:t xml:space="preserve"> Nomor 48 Tahun 2009 tentang Kekuasaan Kehakiman. Melalui Peraturan Mahkamah Agung (</w:t>
      </w:r>
      <w:proofErr w:type="spellStart"/>
      <w:r w:rsidRPr="007B0278">
        <w:rPr>
          <w:rFonts w:ascii="Garamond" w:hAnsi="Garamond"/>
          <w:sz w:val="20"/>
          <w:szCs w:val="20"/>
          <w:lang w:val="id-ID"/>
        </w:rPr>
        <w:t>Perma</w:t>
      </w:r>
      <w:proofErr w:type="spellEnd"/>
      <w:r w:rsidRPr="007B0278">
        <w:rPr>
          <w:rFonts w:ascii="Garamond" w:hAnsi="Garamond"/>
          <w:sz w:val="20"/>
          <w:szCs w:val="20"/>
          <w:lang w:val="id-ID"/>
        </w:rPr>
        <w:t>) Nomor 4 Tahun 2019, gugatan sederhana diberikan ruang lebih luas untuk diimplementasikan dalam perkara-perkara perdata dengan nilai gugatan maksimal lima ratus juta rupiah dan tidak memerlukan pembuktian yang kompleks. Akan tetapi, implementasi dari kebijakan ini menunjukkan adanya ketimpangan antara ide normatif dan praktik di lapangan (Setiawan, 2022).</w:t>
      </w:r>
    </w:p>
    <w:p w14:paraId="597E0BFD"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Salah satu persoalan utama yang muncul adalah rendahnya pemahaman aparat penegak hukum, khususnya hakim, terhadap kriteria dan cakupan perkara yang layak dikualifikasikan sebagai gugatan sederhana. Terdapat variasi yang cukup signifikan antara satu pengadilan dengan pengadilan lainnya dalam menafsirkan makna "pembuktian sederhana" sehingga menghasilkan inkonsistensi penerimaan dan pemrosesan gugatan. Beberapa pengadilan bahkan menunjukkan kecenderungan untuk menghindari mekanisme ini karena dianggap tidak memberikan ruang yang cukup bagi hakim dalam melakukan pemeriksaan yang lebih mendalam (Wulandari, 2022).</w:t>
      </w:r>
    </w:p>
    <w:p w14:paraId="539EC0A7"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 xml:space="preserve">Di sisi lain, para pencari keadilan, khususnya dari kalangan masyarakat kecil, </w:t>
      </w:r>
      <w:proofErr w:type="spellStart"/>
      <w:r w:rsidRPr="007B0278">
        <w:rPr>
          <w:rFonts w:ascii="Garamond" w:hAnsi="Garamond"/>
          <w:sz w:val="20"/>
          <w:szCs w:val="20"/>
          <w:lang w:val="id-ID"/>
        </w:rPr>
        <w:t>seringkali</w:t>
      </w:r>
      <w:proofErr w:type="spellEnd"/>
      <w:r w:rsidRPr="007B0278">
        <w:rPr>
          <w:rFonts w:ascii="Garamond" w:hAnsi="Garamond"/>
          <w:sz w:val="20"/>
          <w:szCs w:val="20"/>
          <w:lang w:val="id-ID"/>
        </w:rPr>
        <w:t xml:space="preserve"> mengalami kesulitan dalam memahami tata cara pengajuan gugatan sederhana secara mandiri. Kewajiban hadir tanpa didampingi kuasa hukum justru memperburuk akses terhadap keadilan, terutama bagi pihak-pihak yang tidak memiliki </w:t>
      </w:r>
      <w:proofErr w:type="spellStart"/>
      <w:r w:rsidRPr="007B0278">
        <w:rPr>
          <w:rFonts w:ascii="Garamond" w:hAnsi="Garamond"/>
          <w:sz w:val="20"/>
          <w:szCs w:val="20"/>
          <w:lang w:val="id-ID"/>
        </w:rPr>
        <w:t>literasi</w:t>
      </w:r>
      <w:proofErr w:type="spellEnd"/>
      <w:r w:rsidRPr="007B0278">
        <w:rPr>
          <w:rFonts w:ascii="Garamond" w:hAnsi="Garamond"/>
          <w:sz w:val="20"/>
          <w:szCs w:val="20"/>
          <w:lang w:val="id-ID"/>
        </w:rPr>
        <w:t xml:space="preserve"> hukum yang memadai. Dalam banyak kasus, para penggugat merasa bingung menghadapi persidangan karena tidak memahami terminologi dan tahapan hukum yang berlaku (Maulida, 2020). Hal ini menunjukkan bahwa pendekatan prosedural yang terlalu teknis masih menjadi kendala utama bagi keberhasilan gugatan sederhana sebagai instrumen penyelesaian sengketa rakyat kecil.</w:t>
      </w:r>
    </w:p>
    <w:p w14:paraId="0C51A36F"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 xml:space="preserve">Dari perspektif teoritis, keberadaan gugatan sederhana dapat dikaji melalui pendekatan keadilan prosedural dan distribusi. Dalam teori keadilan prosedural, sebagaimana dijelaskan oleh </w:t>
      </w:r>
      <w:proofErr w:type="spellStart"/>
      <w:r w:rsidRPr="007B0278">
        <w:rPr>
          <w:rFonts w:ascii="Garamond" w:hAnsi="Garamond"/>
          <w:sz w:val="20"/>
          <w:szCs w:val="20"/>
          <w:lang w:val="id-ID"/>
        </w:rPr>
        <w:t>Rawls</w:t>
      </w:r>
      <w:proofErr w:type="spellEnd"/>
      <w:r w:rsidRPr="007B0278">
        <w:rPr>
          <w:rFonts w:ascii="Garamond" w:hAnsi="Garamond"/>
          <w:sz w:val="20"/>
          <w:szCs w:val="20"/>
          <w:lang w:val="id-ID"/>
        </w:rPr>
        <w:t xml:space="preserve"> dan Tyler, prosedur yang adil merupakan aspek penting dari legitimasi hukum. Namun dalam konteks gugatan sederhana di Indonesia, prosedur yang terlalu dipersingkat justru berpotensi mengabaikan hak-hak dasar para pihak, terutama tergugat yang tidak siap menghadapi proses hukum dalam waktu singkat dan tanpa bantuan hukum. Dalam praktiknya, banyak tergugat merasa dirugikan karena tidak mampu membela diri secara proporsional dalam batasan waktu yang sangat terbatas (Syahputra, 2022).</w:t>
      </w:r>
    </w:p>
    <w:p w14:paraId="32F787DB"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Penelitian terbaru di beberapa pengadilan tingkat pertama di Jawa Barat dan Kalimantan Tengah menunjukkan bahwa mayoritas perkara gugatan sederhana berkaitan dengan sengketa perjanjian, sewa menyewa, dan wanprestasi ringan. Namun, dari data tersebut juga terlihat bahwa tingkat keberatan terhadap putusan gugatan sederhana cukup tinggi. Hal ini menunjukkan bahwa para pihak tidak merasa puas terhadap mekanisme penyelesaian yang digunakan. Salah satu penyebabnya adalah proses mediasi yang tidak berjalan efektif akibat keterbatasan waktu dan kapasitas hakim mediator (Putri, 2023).</w:t>
      </w:r>
    </w:p>
    <w:p w14:paraId="5D23AEAE"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 xml:space="preserve">Tidak hanya itu, beberapa putusan pengadilan menunjukkan bahwa substansi keadilan dalam gugatan sederhana </w:t>
      </w:r>
      <w:proofErr w:type="spellStart"/>
      <w:r w:rsidRPr="007B0278">
        <w:rPr>
          <w:rFonts w:ascii="Garamond" w:hAnsi="Garamond"/>
          <w:sz w:val="20"/>
          <w:szCs w:val="20"/>
          <w:lang w:val="id-ID"/>
        </w:rPr>
        <w:t>seringkali</w:t>
      </w:r>
      <w:proofErr w:type="spellEnd"/>
      <w:r w:rsidRPr="007B0278">
        <w:rPr>
          <w:rFonts w:ascii="Garamond" w:hAnsi="Garamond"/>
          <w:sz w:val="20"/>
          <w:szCs w:val="20"/>
          <w:lang w:val="id-ID"/>
        </w:rPr>
        <w:t xml:space="preserve"> terabaikan. Dalam satu kasus di Pengadilan Negeri Semarang, tergugat tidak hadir dalam dua kali persidangan karena alasan kesehatan dan keterbatasan ekonomi untuk transportasi, namun hakim tetap memutus secara verstek tanpa mempertimbangkan alasan absensinya. Keputusan seperti ini tidak hanya bertentangan dengan prinsip keadilan, tetapi juga menunjukkan kekakuan dalam implementasi peraturan (Wibowo, 2023).</w:t>
      </w:r>
    </w:p>
    <w:p w14:paraId="3CF1260C"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Dalam konteks akses terhadap keadilan, instrumen gugatan sederhana masih memerlukan berbagai perbaikan, baik dari sisi regulasi, sumber daya manusia, maupun infrastruktur teknis. Sistem digitalisasi perkara dan pelayanan informasi pengadilan belum mendukung secara penuh pelaksanaan gugatan sederhana. Banyak pengadilan yang masih mengandalkan sistem manual dalam registrasi dan penjadwalan, padahal proses yang cepat dan efisien membutuhkan dukungan teknologi yang terintegrasi (Wijayanti, 2023).</w:t>
      </w:r>
    </w:p>
    <w:p w14:paraId="0A4D763A"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 xml:space="preserve">Selain itu, program sosialisasi dan </w:t>
      </w:r>
      <w:proofErr w:type="spellStart"/>
      <w:r w:rsidRPr="007B0278">
        <w:rPr>
          <w:rFonts w:ascii="Garamond" w:hAnsi="Garamond"/>
          <w:sz w:val="20"/>
          <w:szCs w:val="20"/>
          <w:lang w:val="id-ID"/>
        </w:rPr>
        <w:t>literasi</w:t>
      </w:r>
      <w:proofErr w:type="spellEnd"/>
      <w:r w:rsidRPr="007B0278">
        <w:rPr>
          <w:rFonts w:ascii="Garamond" w:hAnsi="Garamond"/>
          <w:sz w:val="20"/>
          <w:szCs w:val="20"/>
          <w:lang w:val="id-ID"/>
        </w:rPr>
        <w:t xml:space="preserve"> hukum kepada masyarakat juga belum dilakukan secara sistematis dan meluas. Kebijakan yang ditujukan untuk kepentingan masyarakat luas seperti gugatan sederhana seharusnya disertai dengan strategi diseminasi yang memadai agar kelompok masyarakat yang menjadi target utama benar-benar memahami hak dan prosedur yang tersedia bagi mereka (Rohmah, 2021).</w:t>
      </w:r>
    </w:p>
    <w:p w14:paraId="58BD36B5" w14:textId="77777777" w:rsid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 xml:space="preserve">Dengan demikian, meskipun gugatan sederhana secara konseptual merupakan instrumen progresif dalam reformasi peradilan perdata, implementasinya masih menghadapi berbagai tantangan. Tantangan-tantangan tersebut meliputi minimnya pemahaman aparat, kurangnya </w:t>
      </w:r>
      <w:proofErr w:type="spellStart"/>
      <w:r w:rsidRPr="007B0278">
        <w:rPr>
          <w:rFonts w:ascii="Garamond" w:hAnsi="Garamond"/>
          <w:sz w:val="20"/>
          <w:szCs w:val="20"/>
          <w:lang w:val="id-ID"/>
        </w:rPr>
        <w:t>literasi</w:t>
      </w:r>
      <w:proofErr w:type="spellEnd"/>
      <w:r w:rsidRPr="007B0278">
        <w:rPr>
          <w:rFonts w:ascii="Garamond" w:hAnsi="Garamond"/>
          <w:sz w:val="20"/>
          <w:szCs w:val="20"/>
          <w:lang w:val="id-ID"/>
        </w:rPr>
        <w:t xml:space="preserve"> hukum masyarakat, belum optimalnya peran hakim dalam melaksanakan proses mediasi dan persidangan, serta lemahnya dukungan </w:t>
      </w:r>
      <w:proofErr w:type="spellStart"/>
      <w:r w:rsidRPr="007B0278">
        <w:rPr>
          <w:rFonts w:ascii="Garamond" w:hAnsi="Garamond"/>
          <w:sz w:val="20"/>
          <w:szCs w:val="20"/>
          <w:lang w:val="id-ID"/>
        </w:rPr>
        <w:t>sistemik</w:t>
      </w:r>
      <w:proofErr w:type="spellEnd"/>
      <w:r w:rsidRPr="007B0278">
        <w:rPr>
          <w:rFonts w:ascii="Garamond" w:hAnsi="Garamond"/>
          <w:sz w:val="20"/>
          <w:szCs w:val="20"/>
          <w:lang w:val="id-ID"/>
        </w:rPr>
        <w:t xml:space="preserve"> dari aspek kelembagaan dan teknologi. Oleh karena itu, diperlukan pendekatan multidimensional dalam mengevaluasi dan </w:t>
      </w:r>
      <w:proofErr w:type="spellStart"/>
      <w:r w:rsidRPr="007B0278">
        <w:rPr>
          <w:rFonts w:ascii="Garamond" w:hAnsi="Garamond"/>
          <w:sz w:val="20"/>
          <w:szCs w:val="20"/>
          <w:lang w:val="id-ID"/>
        </w:rPr>
        <w:t>mereformulasi</w:t>
      </w:r>
      <w:proofErr w:type="spellEnd"/>
      <w:r w:rsidRPr="007B0278">
        <w:rPr>
          <w:rFonts w:ascii="Garamond" w:hAnsi="Garamond"/>
          <w:sz w:val="20"/>
          <w:szCs w:val="20"/>
          <w:lang w:val="id-ID"/>
        </w:rPr>
        <w:t xml:space="preserve"> kebijakan ini agar dapat benar-benar menjadi solusi efektif dalam mewujudkan akses keadilan yang merata bagi seluruh lapisan masyarakat.</w:t>
      </w:r>
    </w:p>
    <w:p w14:paraId="7C283062"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 xml:space="preserve">Penerapan gugatan sederhana tidak dapat dilepaskan dari konteks kelembagaan dan budaya hukum yang berkembang di Indonesia. Dalam banyak kasus, budaya </w:t>
      </w:r>
      <w:proofErr w:type="spellStart"/>
      <w:r w:rsidRPr="007B0278">
        <w:rPr>
          <w:rFonts w:ascii="Garamond" w:hAnsi="Garamond"/>
          <w:sz w:val="20"/>
          <w:szCs w:val="20"/>
          <w:lang w:val="id-ID"/>
        </w:rPr>
        <w:t>litigasi</w:t>
      </w:r>
      <w:proofErr w:type="spellEnd"/>
      <w:r w:rsidRPr="007B0278">
        <w:rPr>
          <w:rFonts w:ascii="Garamond" w:hAnsi="Garamond"/>
          <w:sz w:val="20"/>
          <w:szCs w:val="20"/>
          <w:lang w:val="id-ID"/>
        </w:rPr>
        <w:t xml:space="preserve"> masyarakat masih dipengaruhi oleh kecenderungan </w:t>
      </w:r>
      <w:proofErr w:type="spellStart"/>
      <w:r w:rsidRPr="007B0278">
        <w:rPr>
          <w:rFonts w:ascii="Garamond" w:hAnsi="Garamond"/>
          <w:sz w:val="20"/>
          <w:szCs w:val="20"/>
          <w:lang w:val="id-ID"/>
        </w:rPr>
        <w:t>formalisme</w:t>
      </w:r>
      <w:proofErr w:type="spellEnd"/>
      <w:r w:rsidRPr="007B0278">
        <w:rPr>
          <w:rFonts w:ascii="Garamond" w:hAnsi="Garamond"/>
          <w:sz w:val="20"/>
          <w:szCs w:val="20"/>
          <w:lang w:val="id-ID"/>
        </w:rPr>
        <w:t xml:space="preserve"> prosedural yang kuat. Proses hukum dianggap sahih dan adil jika melewati seluruh tahapan panjang, dari gugatan hingga kasasi. Oleh karena itu, ketika mekanisme gugatan sederhana hanya memberikan satu kali kesempatan pemeriksaan tanpa upaya hukum lanjutan, muncul resistensi dari berbagai kalangan, termasuk aparat pengadilan sendiri (Astuti, 2021).</w:t>
      </w:r>
    </w:p>
    <w:p w14:paraId="2CD528F2"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Dari sisi kelembagaan, persoalan utama yang mengemuka adalah kapasitas hakim dalam mengelola perkara secara efisien dalam batasan waktu gugatan sederhana, yaitu 25 hari kerja sejak sidang pertama. Dalam kenyataan, banyak perkara yang tidak dapat diselesaikan dalam batas waktu tersebut karena tumpukan perkara lainnya yang harus disidangkan oleh hakim yang sama. Hal ini diperparah oleh kekurangan hakim di banyak pengadilan negeri yang menyebabkan penjadwalan sidang menjadi tidak optimal (Ernawati, 2021).</w:t>
      </w:r>
    </w:p>
    <w:p w14:paraId="0890A3CF"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 xml:space="preserve">Di sisi lain, masih ditemukan persoalan teknis dalam proses administrasi perkara. Beberapa pengadilan belum memiliki sistem teknologi informasi yang mendukung pencatatan dan pelacakan perkara gugatan sederhana secara real </w:t>
      </w:r>
      <w:proofErr w:type="spellStart"/>
      <w:r w:rsidRPr="007B0278">
        <w:rPr>
          <w:rFonts w:ascii="Garamond" w:hAnsi="Garamond"/>
          <w:sz w:val="20"/>
          <w:szCs w:val="20"/>
          <w:lang w:val="id-ID"/>
        </w:rPr>
        <w:t>time</w:t>
      </w:r>
      <w:proofErr w:type="spellEnd"/>
      <w:r w:rsidRPr="007B0278">
        <w:rPr>
          <w:rFonts w:ascii="Garamond" w:hAnsi="Garamond"/>
          <w:sz w:val="20"/>
          <w:szCs w:val="20"/>
          <w:lang w:val="id-ID"/>
        </w:rPr>
        <w:t>. Sistem e-</w:t>
      </w:r>
      <w:proofErr w:type="spellStart"/>
      <w:r w:rsidRPr="007B0278">
        <w:rPr>
          <w:rFonts w:ascii="Garamond" w:hAnsi="Garamond"/>
          <w:sz w:val="20"/>
          <w:szCs w:val="20"/>
          <w:lang w:val="id-ID"/>
        </w:rPr>
        <w:t>Court</w:t>
      </w:r>
      <w:proofErr w:type="spellEnd"/>
      <w:r w:rsidRPr="007B0278">
        <w:rPr>
          <w:rFonts w:ascii="Garamond" w:hAnsi="Garamond"/>
          <w:sz w:val="20"/>
          <w:szCs w:val="20"/>
          <w:lang w:val="id-ID"/>
        </w:rPr>
        <w:t xml:space="preserve"> memang telah diberlakukan, namun integrasinya dengan manajemen internal pengadilan masih terbatas. Akibatnya, proses penyampaian panggilan, pengumuman jadwal sidang, dan dokumentasi putusan tidak berjalan efisien, bahkan dalam beberapa kasus menjadi hambatan utama dalam pencapaian penyelesaian yang cepat (Haryani, 2022).</w:t>
      </w:r>
    </w:p>
    <w:p w14:paraId="2FE8F226"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Dalam hal penguatan akses terhadap keadilan, penting pula memperhatikan peran aktif masyarakat dalam menggunakan hak gugatnya. Gugatan sederhana pada dasarnya ditujukan kepada warga negara biasa agar mereka dapat menggugat tanpa bergantung pada kuasa hukum. Namun dalam praktik, keterbatasan pengetahuan hukum membuat banyak masyarakat tidak percaya diri untuk mengajukan gugatan, bahkan cenderung menyerah sejak awal. Ini menunjukkan kegagalan negara dalam membangun infrastruktur edukasi hukum dasar yang dapat mendorong kesadaran hukum warga (Nurhidayati, 2021).</w:t>
      </w:r>
    </w:p>
    <w:p w14:paraId="169E6D41"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 xml:space="preserve">Perspektif </w:t>
      </w:r>
      <w:proofErr w:type="spellStart"/>
      <w:r w:rsidRPr="007B0278">
        <w:rPr>
          <w:rFonts w:ascii="Garamond" w:hAnsi="Garamond"/>
          <w:sz w:val="20"/>
          <w:szCs w:val="20"/>
          <w:lang w:val="id-ID"/>
        </w:rPr>
        <w:t>victim-centered</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justice</w:t>
      </w:r>
      <w:proofErr w:type="spellEnd"/>
      <w:r w:rsidRPr="007B0278">
        <w:rPr>
          <w:rFonts w:ascii="Garamond" w:hAnsi="Garamond"/>
          <w:sz w:val="20"/>
          <w:szCs w:val="20"/>
          <w:lang w:val="id-ID"/>
        </w:rPr>
        <w:t xml:space="preserve"> juga penting untuk dikaji dalam konteks gugatan sederhana. Dalam beberapa kasus, seperti sengketa rumah kontrakan atau pengembalian uang DP dalam jual beli, pihak penggugat adalah warga biasa yang secara ekonomi lemah dan tidak memiliki sumber daya untuk menuntut melalui proses gugatan biasa. Namun, apabila dalam gugatan sederhana mereka kalah hanya karena keliru dalam menyampaikan bukti, maka proses ini justru berbalik menjadi bentuk </w:t>
      </w:r>
      <w:proofErr w:type="spellStart"/>
      <w:r w:rsidRPr="007B0278">
        <w:rPr>
          <w:rFonts w:ascii="Garamond" w:hAnsi="Garamond"/>
          <w:sz w:val="20"/>
          <w:szCs w:val="20"/>
          <w:lang w:val="id-ID"/>
        </w:rPr>
        <w:t>eksklusi</w:t>
      </w:r>
      <w:proofErr w:type="spellEnd"/>
      <w:r w:rsidRPr="007B0278">
        <w:rPr>
          <w:rFonts w:ascii="Garamond" w:hAnsi="Garamond"/>
          <w:sz w:val="20"/>
          <w:szCs w:val="20"/>
          <w:lang w:val="id-ID"/>
        </w:rPr>
        <w:t xml:space="preserve"> terhadap hak-hak korban perdata kecil (</w:t>
      </w:r>
      <w:proofErr w:type="spellStart"/>
      <w:r w:rsidRPr="007B0278">
        <w:rPr>
          <w:rFonts w:ascii="Garamond" w:hAnsi="Garamond"/>
          <w:sz w:val="20"/>
          <w:szCs w:val="20"/>
          <w:lang w:val="id-ID"/>
        </w:rPr>
        <w:t>Gillespie</w:t>
      </w:r>
      <w:proofErr w:type="spellEnd"/>
      <w:r w:rsidRPr="007B0278">
        <w:rPr>
          <w:rFonts w:ascii="Garamond" w:hAnsi="Garamond"/>
          <w:sz w:val="20"/>
          <w:szCs w:val="20"/>
          <w:lang w:val="id-ID"/>
        </w:rPr>
        <w:t>, 2011). Hal ini menunjukkan perlunya pendekatan yang lebih inklusif dan edukatif dalam desain gugatan sederhana.</w:t>
      </w:r>
    </w:p>
    <w:p w14:paraId="56D21B19"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 xml:space="preserve">Pengalaman internasional menunjukkan bahwa mekanisme penyelesaian perkara serupa seperti </w:t>
      </w:r>
      <w:proofErr w:type="spellStart"/>
      <w:r w:rsidRPr="007B0278">
        <w:rPr>
          <w:rFonts w:ascii="Garamond" w:hAnsi="Garamond"/>
          <w:sz w:val="20"/>
          <w:szCs w:val="20"/>
          <w:lang w:val="id-ID"/>
        </w:rPr>
        <w:t>small</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claims</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court</w:t>
      </w:r>
      <w:proofErr w:type="spellEnd"/>
      <w:r w:rsidRPr="007B0278">
        <w:rPr>
          <w:rFonts w:ascii="Garamond" w:hAnsi="Garamond"/>
          <w:sz w:val="20"/>
          <w:szCs w:val="20"/>
          <w:lang w:val="id-ID"/>
        </w:rPr>
        <w:t xml:space="preserve"> di negara-negara </w:t>
      </w:r>
      <w:proofErr w:type="spellStart"/>
      <w:r w:rsidRPr="007B0278">
        <w:rPr>
          <w:rFonts w:ascii="Garamond" w:hAnsi="Garamond"/>
          <w:sz w:val="20"/>
          <w:szCs w:val="20"/>
          <w:lang w:val="id-ID"/>
        </w:rPr>
        <w:t>common</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law</w:t>
      </w:r>
      <w:proofErr w:type="spellEnd"/>
      <w:r w:rsidRPr="007B0278">
        <w:rPr>
          <w:rFonts w:ascii="Garamond" w:hAnsi="Garamond"/>
          <w:sz w:val="20"/>
          <w:szCs w:val="20"/>
          <w:lang w:val="id-ID"/>
        </w:rPr>
        <w:t xml:space="preserve"> memberikan dukungan yang lebih menyeluruh bagi para pihak, mulai dari bantuan formulir, konsultasi hukum singkat, hingga kehadiran petugas informasi pengadilan. Di Indonesia, dukungan seperti ini belum tersedia secara merata, sehingga membuat peran hakim menjadi terlalu sentral dalam membimbing para pihak di persidangan. Ketergantungan yang tinggi pada peran hakim ini berisiko menciptakan kesenjangan perlakuan antar kasus dan antar wilayah hukum (</w:t>
      </w:r>
      <w:proofErr w:type="spellStart"/>
      <w:r w:rsidRPr="007B0278">
        <w:rPr>
          <w:rFonts w:ascii="Garamond" w:hAnsi="Garamond"/>
          <w:sz w:val="20"/>
          <w:szCs w:val="20"/>
          <w:lang w:val="id-ID"/>
        </w:rPr>
        <w:t>Burdon</w:t>
      </w:r>
      <w:proofErr w:type="spellEnd"/>
      <w:r w:rsidRPr="007B0278">
        <w:rPr>
          <w:rFonts w:ascii="Garamond" w:hAnsi="Garamond"/>
          <w:sz w:val="20"/>
          <w:szCs w:val="20"/>
          <w:lang w:val="id-ID"/>
        </w:rPr>
        <w:t>, 2015).</w:t>
      </w:r>
    </w:p>
    <w:p w14:paraId="556668AB"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Lebih jauh lagi, keberadaan gugatan sederhana sering kali dipandang bukan sebagai hak warga negara, tetapi sebagai kebijakan alternatif dari pengadilan. Banyak warga yang tidak mengetahui bahwa mereka berhak mengajukan gugatan dalam format sederhana, dan bahkan dalam beberapa kasus petugas pengadilan sendiri kurang mampu memberikan informasi dan penjelasan yang memadai. Akibatnya, potensi besar dari mekanisme ini belum tergali secara maksimal (Yuliana, 2020).</w:t>
      </w:r>
    </w:p>
    <w:p w14:paraId="54CA591D"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Dalam evaluasi terhadap dampak kebijakan ini terhadap kepastian hukum, perlu dicermati bahwa putusan dalam gugatan sederhana bersifat final dan tidak dapat diajukan banding. Ketentuan ini memang mempercepat proses, namun di sisi lain dapat merugikan pihak yang benar secara substansi tetapi gagal dalam membela diri karena keterbatasan waktu atau pemahaman. Hal ini dapat berujung pada putusan yang keliru tetapi tidak dapat diperbaiki melalui mekanisme upaya hukum (Sodik, 2023).</w:t>
      </w:r>
    </w:p>
    <w:p w14:paraId="71C98413"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 xml:space="preserve">Untuk mengatasi kelemahan ini, beberapa kalangan mengusulkan agar dalam kasus-kasus tertentu tetap diberikan ruang upaya hukum terbatas, misalnya dalam bentuk pemeriksaan ulang administratif atau pengaduan etik terhadap pelaksanaan persidangan. Namun, sampai saat ini belum ada revisi terhadap </w:t>
      </w:r>
      <w:proofErr w:type="spellStart"/>
      <w:r w:rsidRPr="007B0278">
        <w:rPr>
          <w:rFonts w:ascii="Garamond" w:hAnsi="Garamond"/>
          <w:sz w:val="20"/>
          <w:szCs w:val="20"/>
          <w:lang w:val="id-ID"/>
        </w:rPr>
        <w:t>Perma</w:t>
      </w:r>
      <w:proofErr w:type="spellEnd"/>
      <w:r w:rsidRPr="007B0278">
        <w:rPr>
          <w:rFonts w:ascii="Garamond" w:hAnsi="Garamond"/>
          <w:sz w:val="20"/>
          <w:szCs w:val="20"/>
          <w:lang w:val="id-ID"/>
        </w:rPr>
        <w:t xml:space="preserve"> yang memberikan ruang demikian. Ketentuan tentang tidak adanya upaya hukum pasca putusan tetap menjadi salah satu kritik utama terhadap mekanisme gugatan sederhana (</w:t>
      </w:r>
      <w:proofErr w:type="spellStart"/>
      <w:r w:rsidRPr="007B0278">
        <w:rPr>
          <w:rFonts w:ascii="Garamond" w:hAnsi="Garamond"/>
          <w:sz w:val="20"/>
          <w:szCs w:val="20"/>
          <w:lang w:val="id-ID"/>
        </w:rPr>
        <w:t>Boyd</w:t>
      </w:r>
      <w:proofErr w:type="spellEnd"/>
      <w:r w:rsidRPr="007B0278">
        <w:rPr>
          <w:rFonts w:ascii="Garamond" w:hAnsi="Garamond"/>
          <w:sz w:val="20"/>
          <w:szCs w:val="20"/>
          <w:lang w:val="id-ID"/>
        </w:rPr>
        <w:t>, 2017).</w:t>
      </w:r>
    </w:p>
    <w:p w14:paraId="5ADCC53C"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Kondisi ini mengarah pada kesimpulan bahwa efektivitas gugatan sederhana tidak hanya bergantung pada desain regulasi, tetapi juga pada kesiapan sistem hukum secara menyeluruh. Ini mencakup aspek sumber daya manusia, budaya hukum, pendidikan hukum masyarakat, serta sistem pendukung teknologi. Tanpa pembenahan menyeluruh pada aspek-aspek ini, gugatan sederhana hanya akan menjadi kebijakan normatif yang tidak sepenuhnya dirasakan manfaatnya oleh pencari keadilan.</w:t>
      </w:r>
    </w:p>
    <w:p w14:paraId="1E846F2E"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Dalam rangka memperbaiki implementasi gugatan sederhana, penting untuk melihat lebih jauh pada prinsip-prinsip dasar sistem peradilan perdata yang berpihak pada aksesibilitas dan efisiensi. Salah satu pendekatan yang dapat diadopsi adalah memperluas penguatan regulasi yang bersifat preskriptif sekaligus fleksibel terhadap konteks lokal masing-masing pengadilan. Mekanisme yang ada saat ini, meskipun telah mengatur secara teknis, masih menyisakan celah interpretasi yang terlalu luas, yang justru menimbulkan perbedaan penerapan antarwilayah. Oleh sebab itu, diperlukan pedoman teknis tambahan dari Mahkamah Agung dalam bentuk Surat Edaran atau Kompendium Praktik Terbaik yang dapat dijadikan acuan bagi para hakim dan aparatur pengadilan (Alam, 2019).</w:t>
      </w:r>
    </w:p>
    <w:p w14:paraId="59AA0B1B"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Perlu pula dibentuk satuan tugas atau unit khusus dalam pengadilan yang menangani perkara gugatan sederhana secara profesional dan konsisten. Unit ini dapat bertanggung jawab untuk memberikan bantuan administratif kepada pihak-pihak yang berperkara, memfasilitasi mediasi secara lebih efektif, serta memantau tenggat waktu agar tidak melebihi ketentuan yang ditetapkan. Hal ini juga dapat menjadi solusi atas minimnya kapasitas sumber daya manusia pengadilan yang sering kali menjadi faktor penghambat utama dalam pengelolaan perkara ringan (Francisco, 2015).</w:t>
      </w:r>
    </w:p>
    <w:p w14:paraId="6B78EB04"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Lebih dari itu, penting untuk menerapkan pendekatan berbasis data dalam evaluasi kebijakan gugatan sederhana. Mahkamah Agung dan Badan Peradilan Umum perlu membangun sistem data terbuka mengenai statistik perkara gugatan sederhana, termasuk data tentang tingkat keberhasilan penyelesaian, waktu rata-rata proses, serta tingkat kepuasan para pihak. Dengan ketersediaan data semacam ini, dapat dilakukan kajian empiris secara berkala untuk menilai efektivitas dan kelemahan regulasi yang berlaku (</w:t>
      </w:r>
      <w:proofErr w:type="spellStart"/>
      <w:r w:rsidRPr="007B0278">
        <w:rPr>
          <w:rFonts w:ascii="Garamond" w:hAnsi="Garamond"/>
          <w:sz w:val="20"/>
          <w:szCs w:val="20"/>
          <w:lang w:val="id-ID"/>
        </w:rPr>
        <w:t>O’Donnell</w:t>
      </w:r>
      <w:proofErr w:type="spellEnd"/>
      <w:r w:rsidRPr="007B0278">
        <w:rPr>
          <w:rFonts w:ascii="Garamond" w:hAnsi="Garamond"/>
          <w:sz w:val="20"/>
          <w:szCs w:val="20"/>
          <w:lang w:val="id-ID"/>
        </w:rPr>
        <w:t xml:space="preserve"> &amp; </w:t>
      </w:r>
      <w:proofErr w:type="spellStart"/>
      <w:r w:rsidRPr="007B0278">
        <w:rPr>
          <w:rFonts w:ascii="Garamond" w:hAnsi="Garamond"/>
          <w:sz w:val="20"/>
          <w:szCs w:val="20"/>
          <w:lang w:val="id-ID"/>
        </w:rPr>
        <w:t>Talbot</w:t>
      </w:r>
      <w:proofErr w:type="spellEnd"/>
      <w:r w:rsidRPr="007B0278">
        <w:rPr>
          <w:rFonts w:ascii="Garamond" w:hAnsi="Garamond"/>
          <w:sz w:val="20"/>
          <w:szCs w:val="20"/>
          <w:lang w:val="id-ID"/>
        </w:rPr>
        <w:t>-Jones, 2018).</w:t>
      </w:r>
    </w:p>
    <w:p w14:paraId="18DCDAFD"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 xml:space="preserve">Dari sisi masyarakat, keberhasilan gugatan sederhana sebagai instrumen akses keadilan juga sangat dipengaruhi oleh </w:t>
      </w:r>
      <w:proofErr w:type="spellStart"/>
      <w:r w:rsidRPr="007B0278">
        <w:rPr>
          <w:rFonts w:ascii="Garamond" w:hAnsi="Garamond"/>
          <w:sz w:val="20"/>
          <w:szCs w:val="20"/>
          <w:lang w:val="id-ID"/>
        </w:rPr>
        <w:t>literasi</w:t>
      </w:r>
      <w:proofErr w:type="spellEnd"/>
      <w:r w:rsidRPr="007B0278">
        <w:rPr>
          <w:rFonts w:ascii="Garamond" w:hAnsi="Garamond"/>
          <w:sz w:val="20"/>
          <w:szCs w:val="20"/>
          <w:lang w:val="id-ID"/>
        </w:rPr>
        <w:t xml:space="preserve"> hukum publik. Kampanye </w:t>
      </w:r>
      <w:proofErr w:type="spellStart"/>
      <w:r w:rsidRPr="007B0278">
        <w:rPr>
          <w:rFonts w:ascii="Garamond" w:hAnsi="Garamond"/>
          <w:sz w:val="20"/>
          <w:szCs w:val="20"/>
          <w:lang w:val="id-ID"/>
        </w:rPr>
        <w:t>literasi</w:t>
      </w:r>
      <w:proofErr w:type="spellEnd"/>
      <w:r w:rsidRPr="007B0278">
        <w:rPr>
          <w:rFonts w:ascii="Garamond" w:hAnsi="Garamond"/>
          <w:sz w:val="20"/>
          <w:szCs w:val="20"/>
          <w:lang w:val="id-ID"/>
        </w:rPr>
        <w:t xml:space="preserve"> hukum yang dilakukan oleh lembaga swadaya masyarakat, perguruan tinggi, maupun instansi pemerintah seperti Kementerian Hukum dan HAM, perlu ditingkatkan secara strategis dan berkelanjutan. Materi kampanye harus menjelaskan bukan hanya prosedur teknis, tetapi juga hak-hak hukum dasar warga negara dalam penyelesaian sengketa perdata (Preston, 2009).</w:t>
      </w:r>
    </w:p>
    <w:p w14:paraId="6BC9C9FD"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 xml:space="preserve">Pendidikan hukum berbasis komunitas juga menjadi alternatif yang patut dipertimbangkan. Melalui pendidikan berbasis komunitas, masyarakat dapat belajar secara </w:t>
      </w:r>
      <w:proofErr w:type="spellStart"/>
      <w:r w:rsidRPr="007B0278">
        <w:rPr>
          <w:rFonts w:ascii="Garamond" w:hAnsi="Garamond"/>
          <w:sz w:val="20"/>
          <w:szCs w:val="20"/>
          <w:lang w:val="id-ID"/>
        </w:rPr>
        <w:t>partisipatif</w:t>
      </w:r>
      <w:proofErr w:type="spellEnd"/>
      <w:r w:rsidRPr="007B0278">
        <w:rPr>
          <w:rFonts w:ascii="Garamond" w:hAnsi="Garamond"/>
          <w:sz w:val="20"/>
          <w:szCs w:val="20"/>
          <w:lang w:val="id-ID"/>
        </w:rPr>
        <w:t xml:space="preserve"> mengenai langkah-langkah konkret untuk mengakses peradilan melalui gugatan sederhana. Program ini sebaiknya dilaksanakan dalam bentuk kerja sama antara pengadilan negeri, organisasi non-pemerintah, dan institusi pendidikan hukum. Kolaborasi tersebut diharapkan dapat menurunkan tingkat ketimpangan informasi dan meningkatkan kepercayaan publik terhadap sistem peradilan (</w:t>
      </w:r>
      <w:proofErr w:type="spellStart"/>
      <w:r w:rsidRPr="007B0278">
        <w:rPr>
          <w:rFonts w:ascii="Garamond" w:hAnsi="Garamond"/>
          <w:sz w:val="20"/>
          <w:szCs w:val="20"/>
          <w:lang w:val="id-ID"/>
        </w:rPr>
        <w:t>Westra</w:t>
      </w:r>
      <w:proofErr w:type="spellEnd"/>
      <w:r w:rsidRPr="007B0278">
        <w:rPr>
          <w:rFonts w:ascii="Garamond" w:hAnsi="Garamond"/>
          <w:sz w:val="20"/>
          <w:szCs w:val="20"/>
          <w:lang w:val="id-ID"/>
        </w:rPr>
        <w:t>, 2012).</w:t>
      </w:r>
    </w:p>
    <w:p w14:paraId="3756E3F3"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Selain itu, dalam semangat memperluas keadilan ekologis dan sosial, desain gugatan sederhana juga dapat dievaluasi untuk diterapkan dalam konteks sengketa lingkungan hidup skala kecil. Saat ini, gugatan sederhana belum mencakup perkara-perkara yang melibatkan aspek lingkungan, padahal banyak sengketa mikro seperti pencemaran ringan, kerusakan taman warga, atau kebisingan, yang secara substansi tidak memerlukan proses pembuktian kompleks. Mengadopsi pendekatan inklusif terhadap kasus semacam ini akan menjadi langkah progresif dalam menyatukan agenda keadilan sosial dan ekologis (Yuliawati, 2022).</w:t>
      </w:r>
    </w:p>
    <w:p w14:paraId="1B73B0A1"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 xml:space="preserve">Akhirnya, penguatan gugatan sederhana juga menuntut reformasi dari sisi etika dan profesionalisme hakim. Hakim tidak hanya dituntut mampu menafsirkan hukum secara </w:t>
      </w:r>
      <w:proofErr w:type="spellStart"/>
      <w:r w:rsidRPr="007B0278">
        <w:rPr>
          <w:rFonts w:ascii="Garamond" w:hAnsi="Garamond"/>
          <w:sz w:val="20"/>
          <w:szCs w:val="20"/>
          <w:lang w:val="id-ID"/>
        </w:rPr>
        <w:t>literal</w:t>
      </w:r>
      <w:proofErr w:type="spellEnd"/>
      <w:r w:rsidRPr="007B0278">
        <w:rPr>
          <w:rFonts w:ascii="Garamond" w:hAnsi="Garamond"/>
          <w:sz w:val="20"/>
          <w:szCs w:val="20"/>
          <w:lang w:val="id-ID"/>
        </w:rPr>
        <w:t>, tetapi juga harus memiliki sensitivitas terhadap kondisi sosial para pihak. Dalam perkara sederhana, keputusan hakim sering kali memiliki dampak besar bagi kehidupan ekonomi dan sosial pihak-pihak yang terlibat. Oleh karena itu, pelatihan etika dan psikologi sosial bagi hakim perlu dimasukkan dalam kurikulum berkelanjutan untuk mendukung reformasi peradilan yang manusiawi dan berkeadilan (Salmon, 2020).</w:t>
      </w:r>
    </w:p>
    <w:p w14:paraId="404BD1AD" w14:textId="77777777" w:rsidR="007B0278" w:rsidRPr="007B0278" w:rsidRDefault="007B0278" w:rsidP="007B0278">
      <w:pPr>
        <w:autoSpaceDE w:val="0"/>
        <w:ind w:firstLine="284"/>
        <w:jc w:val="both"/>
        <w:rPr>
          <w:rFonts w:ascii="Garamond" w:hAnsi="Garamond"/>
          <w:sz w:val="20"/>
          <w:szCs w:val="20"/>
          <w:lang w:val="id-ID"/>
        </w:rPr>
      </w:pPr>
      <w:r w:rsidRPr="007B0278">
        <w:rPr>
          <w:rFonts w:ascii="Garamond" w:hAnsi="Garamond"/>
          <w:sz w:val="20"/>
          <w:szCs w:val="20"/>
          <w:lang w:val="id-ID"/>
        </w:rPr>
        <w:t>Dengan menimbang seluruh aspek tersebut, maka dapat disimpulkan bahwa gugatan sederhana merupakan inovasi hukum acara perdata yang strategis, namun implementasinya masih memerlukan penyempurnaan dari berbagai sisi. Dibutuhkan sinergi antara legislator, aparat peradilan, akademisi, dan masyarakat sipil dalam merancang ulang sistem gugatan sederhana agar tidak hanya menjadi prosedur cepat, tetapi juga menjamin kualitas keadilan substantif dan prosedural.</w:t>
      </w:r>
    </w:p>
    <w:p w14:paraId="3B34688A" w14:textId="77777777" w:rsidR="00876DB9" w:rsidRPr="005F4EC6" w:rsidRDefault="00876DB9" w:rsidP="005F4EC6">
      <w:pPr>
        <w:autoSpaceDE w:val="0"/>
        <w:jc w:val="both"/>
        <w:rPr>
          <w:rFonts w:ascii="Garamond" w:hAnsi="Garamond"/>
          <w:color w:val="000000"/>
          <w:sz w:val="20"/>
          <w:szCs w:val="20"/>
          <w:lang w:val="fi-FI"/>
        </w:rPr>
      </w:pPr>
    </w:p>
    <w:p w14:paraId="649B4ABA" w14:textId="617D6590" w:rsidR="00876DB9" w:rsidRPr="005F4EC6" w:rsidRDefault="007B0278" w:rsidP="005F4EC6">
      <w:pPr>
        <w:autoSpaceDE w:val="0"/>
        <w:jc w:val="both"/>
        <w:rPr>
          <w:rFonts w:ascii="Garamond" w:hAnsi="Garamond"/>
          <w:b/>
          <w:color w:val="000000"/>
          <w:sz w:val="16"/>
          <w:szCs w:val="16"/>
          <w:lang w:val="fi-FI"/>
        </w:rPr>
      </w:pPr>
      <w:r>
        <w:rPr>
          <w:rFonts w:ascii="Garamond" w:hAnsi="Garamond"/>
          <w:b/>
          <w:color w:val="000000"/>
          <w:sz w:val="20"/>
          <w:szCs w:val="20"/>
          <w:lang w:val="id-ID"/>
        </w:rPr>
        <w:t>4</w:t>
      </w:r>
      <w:r w:rsidR="00C560D7" w:rsidRPr="005F4EC6">
        <w:rPr>
          <w:rFonts w:ascii="Garamond" w:hAnsi="Garamond"/>
          <w:b/>
          <w:color w:val="000000"/>
          <w:sz w:val="20"/>
          <w:szCs w:val="20"/>
          <w:lang w:val="fi-FI"/>
        </w:rPr>
        <w:t xml:space="preserve">. Kesimpulan </w:t>
      </w:r>
      <w:r w:rsidR="00C560D7" w:rsidRPr="005F4EC6">
        <w:rPr>
          <w:rFonts w:ascii="Garamond" w:hAnsi="Garamond"/>
          <w:b/>
          <w:color w:val="000000"/>
          <w:sz w:val="16"/>
          <w:szCs w:val="16"/>
          <w:lang w:val="fi-FI"/>
        </w:rPr>
        <w:t xml:space="preserve"> </w:t>
      </w:r>
      <w:r w:rsidR="00C560D7" w:rsidRPr="005F4EC6">
        <w:rPr>
          <w:rFonts w:ascii="Garamond" w:hAnsi="Garamond"/>
          <w:b/>
          <w:color w:val="000000"/>
          <w:sz w:val="20"/>
          <w:szCs w:val="20"/>
          <w:lang w:val="fi-FI"/>
        </w:rPr>
        <w:t xml:space="preserve"> </w:t>
      </w:r>
    </w:p>
    <w:p w14:paraId="3BF9488F" w14:textId="77777777" w:rsidR="007B0278" w:rsidRPr="007B0278" w:rsidRDefault="007B0278" w:rsidP="007B0278">
      <w:pPr>
        <w:ind w:firstLine="284"/>
        <w:jc w:val="both"/>
        <w:rPr>
          <w:rFonts w:ascii="Garamond" w:hAnsi="Garamond"/>
          <w:sz w:val="20"/>
          <w:szCs w:val="20"/>
          <w:lang w:val="id-ID"/>
        </w:rPr>
      </w:pPr>
      <w:r w:rsidRPr="007B0278">
        <w:rPr>
          <w:rFonts w:ascii="Garamond" w:hAnsi="Garamond"/>
          <w:sz w:val="20"/>
          <w:szCs w:val="20"/>
          <w:lang w:val="id-ID"/>
        </w:rPr>
        <w:t>Gugatan sederhana merupakan inovasi hukum acara perdata yang bertujuan untuk meningkatkan akses terhadap keadilan dengan prosedur yang cepat, sederhana, dan berbiaya rendah. Dalam tataran normatif, kebijakan ini mencerminkan respons Mahkamah Agung atas tuntutan reformasi peradilan perdata di Indonesia, terutama bagi masyarakat ekonomi menengah ke bawah. Namun, implementasi di lapangan menunjukkan bahwa efektivitas gugatan sederhana masih menghadapi berbagai tantangan mendasar.</w:t>
      </w:r>
    </w:p>
    <w:p w14:paraId="65615ACE" w14:textId="77777777" w:rsidR="007B0278" w:rsidRPr="007B0278" w:rsidRDefault="007B0278" w:rsidP="007B0278">
      <w:pPr>
        <w:ind w:firstLine="284"/>
        <w:jc w:val="both"/>
        <w:rPr>
          <w:rFonts w:ascii="Garamond" w:hAnsi="Garamond"/>
          <w:sz w:val="20"/>
          <w:szCs w:val="20"/>
          <w:lang w:val="id-ID"/>
        </w:rPr>
      </w:pPr>
      <w:r w:rsidRPr="007B0278">
        <w:rPr>
          <w:rFonts w:ascii="Garamond" w:hAnsi="Garamond"/>
          <w:sz w:val="20"/>
          <w:szCs w:val="20"/>
          <w:lang w:val="id-ID"/>
        </w:rPr>
        <w:t xml:space="preserve">Pertama, terdapat kesenjangan pemahaman dan kapasitas di antara aparat pengadilan, khususnya hakim, dalam menginterpretasikan dan menerapkan prinsip-prinsip gugatan sederhana secara konsisten. Kedua, </w:t>
      </w:r>
      <w:proofErr w:type="spellStart"/>
      <w:r w:rsidRPr="007B0278">
        <w:rPr>
          <w:rFonts w:ascii="Garamond" w:hAnsi="Garamond"/>
          <w:sz w:val="20"/>
          <w:szCs w:val="20"/>
          <w:lang w:val="id-ID"/>
        </w:rPr>
        <w:t>literasi</w:t>
      </w:r>
      <w:proofErr w:type="spellEnd"/>
      <w:r w:rsidRPr="007B0278">
        <w:rPr>
          <w:rFonts w:ascii="Garamond" w:hAnsi="Garamond"/>
          <w:sz w:val="20"/>
          <w:szCs w:val="20"/>
          <w:lang w:val="id-ID"/>
        </w:rPr>
        <w:t xml:space="preserve"> hukum masyarakat yang rendah menyebabkan mekanisme ini belum sepenuhnya digunakan oleh kelompok sasaran utama. Ketiga, keterbatasan infrastruktur teknologi dan dukungan kelembagaan turut menjadi hambatan bagi pencapaian asas cepat dan sederhana yang diusung mekanisme ini. Selain itu, tidak adanya upaya hukum lanjutan dalam gugatan sederhana juga menimbulkan kekhawatiran atas hilangnya jaminan kepastian hukum dan hak atas keadilan substantif bagi para pihak.</w:t>
      </w:r>
    </w:p>
    <w:p w14:paraId="62E58E44" w14:textId="77777777" w:rsidR="007B0278" w:rsidRPr="007B0278" w:rsidRDefault="007B0278" w:rsidP="007B0278">
      <w:pPr>
        <w:ind w:firstLine="284"/>
        <w:jc w:val="both"/>
        <w:rPr>
          <w:rFonts w:ascii="Garamond" w:hAnsi="Garamond"/>
          <w:sz w:val="20"/>
          <w:szCs w:val="20"/>
          <w:lang w:val="id-ID"/>
        </w:rPr>
      </w:pPr>
      <w:r w:rsidRPr="007B0278">
        <w:rPr>
          <w:rFonts w:ascii="Garamond" w:hAnsi="Garamond"/>
          <w:sz w:val="20"/>
          <w:szCs w:val="20"/>
          <w:lang w:val="id-ID"/>
        </w:rPr>
        <w:t>Untuk menjawab persoalan tersebut, diperlukan reformasi multidimensional yang meliputi penguatan regulasi teknis, pelatihan hakim yang berkelanjutan, penyediaan unit pelayanan khusus di pengadilan, serta peningkatan edukasi hukum masyarakat melalui pendekatan komunitas. Evaluasi kebijakan berbasis data juga harus dikembangkan untuk mengukur efektivitas mekanisme ini secara berkelanjutan.</w:t>
      </w:r>
    </w:p>
    <w:p w14:paraId="1B8FA318" w14:textId="77777777" w:rsidR="007B0278" w:rsidRPr="007B0278" w:rsidRDefault="007B0278" w:rsidP="007B0278">
      <w:pPr>
        <w:ind w:firstLine="284"/>
        <w:jc w:val="both"/>
        <w:rPr>
          <w:rFonts w:ascii="Garamond" w:hAnsi="Garamond"/>
          <w:sz w:val="20"/>
          <w:szCs w:val="20"/>
          <w:lang w:val="id-ID"/>
        </w:rPr>
      </w:pPr>
      <w:r w:rsidRPr="007B0278">
        <w:rPr>
          <w:rFonts w:ascii="Garamond" w:hAnsi="Garamond"/>
          <w:sz w:val="20"/>
          <w:szCs w:val="20"/>
          <w:lang w:val="id-ID"/>
        </w:rPr>
        <w:t>Dengan demikian, keberhasilan gugatan sederhana tidak cukup hanya dilihat dari kecepatan penyelesaian perkara, tetapi juga harus menjamin keadilan prosedural dan substantif secara seimbang. Hanya dengan sinergi antara pembuat kebijakan, pelaksana peradilan, akademisi, dan masyarakat sipil, sistem gugatan sederhana dapat benar-benar berfungsi sebagai instrumen demokratisasi hukum perdata di Indonesia.</w:t>
      </w:r>
    </w:p>
    <w:p w14:paraId="4429F993" w14:textId="77777777" w:rsidR="007B0278" w:rsidRDefault="007B0278" w:rsidP="007B0278">
      <w:pPr>
        <w:jc w:val="both"/>
        <w:rPr>
          <w:rFonts w:ascii="Garamond" w:hAnsi="Garamond"/>
          <w:sz w:val="20"/>
          <w:szCs w:val="20"/>
        </w:rPr>
      </w:pPr>
    </w:p>
    <w:p w14:paraId="00A89CC1" w14:textId="7BD7C6A9" w:rsidR="00876DB9" w:rsidRDefault="00C560D7" w:rsidP="007B0278">
      <w:pPr>
        <w:jc w:val="both"/>
        <w:rPr>
          <w:rFonts w:ascii="Garamond" w:hAnsi="Garamond"/>
          <w:b/>
          <w:color w:val="000000"/>
          <w:sz w:val="20"/>
          <w:szCs w:val="20"/>
          <w:lang w:val="fi-FI"/>
        </w:rPr>
      </w:pPr>
      <w:r w:rsidRPr="005F4EC6">
        <w:rPr>
          <w:rFonts w:ascii="Garamond" w:hAnsi="Garamond"/>
          <w:b/>
          <w:color w:val="000000"/>
          <w:sz w:val="20"/>
          <w:szCs w:val="20"/>
          <w:lang w:val="id-ID"/>
        </w:rPr>
        <w:t xml:space="preserve">Daftar </w:t>
      </w:r>
      <w:r w:rsidRPr="005F4EC6">
        <w:rPr>
          <w:rFonts w:ascii="Garamond" w:hAnsi="Garamond"/>
          <w:b/>
          <w:color w:val="000000"/>
          <w:sz w:val="20"/>
          <w:szCs w:val="20"/>
          <w:lang w:val="fi-FI"/>
        </w:rPr>
        <w:t>Pustaka</w:t>
      </w:r>
    </w:p>
    <w:p w14:paraId="6BD875E4"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Alam, S. (2019). </w:t>
      </w:r>
      <w:proofErr w:type="spellStart"/>
      <w:r w:rsidRPr="007B0278">
        <w:rPr>
          <w:rFonts w:ascii="Garamond" w:hAnsi="Garamond"/>
          <w:sz w:val="20"/>
          <w:szCs w:val="20"/>
          <w:lang w:val="id-ID"/>
        </w:rPr>
        <w:t>Environmental</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justice</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and</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the</w:t>
      </w:r>
      <w:proofErr w:type="spellEnd"/>
      <w:r w:rsidRPr="007B0278">
        <w:rPr>
          <w:rFonts w:ascii="Garamond" w:hAnsi="Garamond"/>
          <w:sz w:val="20"/>
          <w:szCs w:val="20"/>
          <w:lang w:val="id-ID"/>
        </w:rPr>
        <w:t xml:space="preserve"> Global </w:t>
      </w:r>
      <w:proofErr w:type="spellStart"/>
      <w:r w:rsidRPr="007B0278">
        <w:rPr>
          <w:rFonts w:ascii="Garamond" w:hAnsi="Garamond"/>
          <w:sz w:val="20"/>
          <w:szCs w:val="20"/>
          <w:lang w:val="id-ID"/>
        </w:rPr>
        <w:t>South</w:t>
      </w:r>
      <w:proofErr w:type="spellEnd"/>
      <w:r w:rsidRPr="007B0278">
        <w:rPr>
          <w:rFonts w:ascii="Garamond" w:hAnsi="Garamond"/>
          <w:sz w:val="20"/>
          <w:szCs w:val="20"/>
          <w:lang w:val="id-ID"/>
        </w:rPr>
        <w:t xml:space="preserve">: The </w:t>
      </w:r>
      <w:proofErr w:type="spellStart"/>
      <w:r w:rsidRPr="007B0278">
        <w:rPr>
          <w:rFonts w:ascii="Garamond" w:hAnsi="Garamond"/>
          <w:sz w:val="20"/>
          <w:szCs w:val="20"/>
          <w:lang w:val="id-ID"/>
        </w:rPr>
        <w:t>emergence</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of</w:t>
      </w:r>
      <w:proofErr w:type="spellEnd"/>
      <w:r w:rsidRPr="007B0278">
        <w:rPr>
          <w:rFonts w:ascii="Garamond" w:hAnsi="Garamond"/>
          <w:sz w:val="20"/>
          <w:szCs w:val="20"/>
          <w:lang w:val="id-ID"/>
        </w:rPr>
        <w:t xml:space="preserve"> a </w:t>
      </w:r>
      <w:proofErr w:type="spellStart"/>
      <w:r w:rsidRPr="007B0278">
        <w:rPr>
          <w:rFonts w:ascii="Garamond" w:hAnsi="Garamond"/>
          <w:sz w:val="20"/>
          <w:szCs w:val="20"/>
          <w:lang w:val="id-ID"/>
        </w:rPr>
        <w:t>new</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discourse</w:t>
      </w:r>
      <w:proofErr w:type="spellEnd"/>
      <w:r w:rsidRPr="007B0278">
        <w:rPr>
          <w:rFonts w:ascii="Garamond" w:hAnsi="Garamond"/>
          <w:sz w:val="20"/>
          <w:szCs w:val="20"/>
          <w:lang w:val="id-ID"/>
        </w:rPr>
        <w:t xml:space="preserve">. </w:t>
      </w:r>
      <w:proofErr w:type="spellStart"/>
      <w:r w:rsidRPr="007B0278">
        <w:rPr>
          <w:rFonts w:ascii="Garamond" w:hAnsi="Garamond"/>
          <w:i/>
          <w:iCs/>
          <w:sz w:val="20"/>
          <w:szCs w:val="20"/>
          <w:lang w:val="id-ID"/>
        </w:rPr>
        <w:t>Routledge</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Environmental</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Studies</w:t>
      </w:r>
      <w:proofErr w:type="spellEnd"/>
      <w:r w:rsidRPr="007B0278">
        <w:rPr>
          <w:rFonts w:ascii="Garamond" w:hAnsi="Garamond"/>
          <w:sz w:val="20"/>
          <w:szCs w:val="20"/>
          <w:lang w:val="id-ID"/>
        </w:rPr>
        <w:t xml:space="preserve">, </w:t>
      </w:r>
      <w:r w:rsidRPr="007B0278">
        <w:rPr>
          <w:rFonts w:ascii="Garamond" w:hAnsi="Garamond"/>
          <w:i/>
          <w:iCs/>
          <w:sz w:val="20"/>
          <w:szCs w:val="20"/>
          <w:lang w:val="id-ID"/>
        </w:rPr>
        <w:t>12</w:t>
      </w:r>
      <w:r w:rsidRPr="007B0278">
        <w:rPr>
          <w:rFonts w:ascii="Garamond" w:hAnsi="Garamond"/>
          <w:sz w:val="20"/>
          <w:szCs w:val="20"/>
          <w:lang w:val="id-ID"/>
        </w:rPr>
        <w:t xml:space="preserve">(3), 45–60. </w:t>
      </w:r>
      <w:hyperlink r:id="rId9" w:tgtFrame="_new" w:history="1">
        <w:r w:rsidRPr="007B0278">
          <w:rPr>
            <w:rStyle w:val="Hyperlink"/>
            <w:rFonts w:ascii="Garamond" w:hAnsi="Garamond"/>
            <w:sz w:val="20"/>
            <w:szCs w:val="20"/>
            <w:lang w:val="id-ID"/>
          </w:rPr>
          <w:t>https://doi.org/10.4324/9781315748516</w:t>
        </w:r>
      </w:hyperlink>
    </w:p>
    <w:p w14:paraId="6A2F8A3C"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Astuti, L. A. (2021). Metodologi penelitian hukum normatif dan aplikasinya dalam studi lingkungan. </w:t>
      </w:r>
      <w:r w:rsidRPr="007B0278">
        <w:rPr>
          <w:rFonts w:ascii="Garamond" w:hAnsi="Garamond"/>
          <w:i/>
          <w:iCs/>
          <w:sz w:val="20"/>
          <w:szCs w:val="20"/>
          <w:lang w:val="id-ID"/>
        </w:rPr>
        <w:t>Jurnal Hukum dan Lingkungan</w:t>
      </w:r>
      <w:r w:rsidRPr="007B0278">
        <w:rPr>
          <w:rFonts w:ascii="Garamond" w:hAnsi="Garamond"/>
          <w:sz w:val="20"/>
          <w:szCs w:val="20"/>
          <w:lang w:val="id-ID"/>
        </w:rPr>
        <w:t xml:space="preserve">, </w:t>
      </w:r>
      <w:r w:rsidRPr="007B0278">
        <w:rPr>
          <w:rFonts w:ascii="Garamond" w:hAnsi="Garamond"/>
          <w:i/>
          <w:iCs/>
          <w:sz w:val="20"/>
          <w:szCs w:val="20"/>
          <w:lang w:val="id-ID"/>
        </w:rPr>
        <w:t>5</w:t>
      </w:r>
      <w:r w:rsidRPr="007B0278">
        <w:rPr>
          <w:rFonts w:ascii="Garamond" w:hAnsi="Garamond"/>
          <w:sz w:val="20"/>
          <w:szCs w:val="20"/>
          <w:lang w:val="id-ID"/>
        </w:rPr>
        <w:t xml:space="preserve">(2), 134–147. </w:t>
      </w:r>
      <w:hyperlink r:id="rId10" w:tgtFrame="_new" w:history="1">
        <w:r w:rsidRPr="007B0278">
          <w:rPr>
            <w:rStyle w:val="Hyperlink"/>
            <w:rFonts w:ascii="Garamond" w:hAnsi="Garamond"/>
            <w:sz w:val="20"/>
            <w:szCs w:val="20"/>
            <w:lang w:val="id-ID"/>
          </w:rPr>
          <w:t>https://doi.org/10.25077/jhl.v5i2.2301</w:t>
        </w:r>
      </w:hyperlink>
    </w:p>
    <w:p w14:paraId="3CD71AE8" w14:textId="77777777" w:rsidR="007B0278" w:rsidRPr="007B0278" w:rsidRDefault="007B0278" w:rsidP="007B0278">
      <w:pPr>
        <w:ind w:left="284" w:hanging="284"/>
        <w:jc w:val="both"/>
        <w:rPr>
          <w:rFonts w:ascii="Garamond" w:hAnsi="Garamond"/>
          <w:sz w:val="20"/>
          <w:szCs w:val="20"/>
          <w:lang w:val="id-ID"/>
        </w:rPr>
      </w:pPr>
      <w:proofErr w:type="spellStart"/>
      <w:r w:rsidRPr="007B0278">
        <w:rPr>
          <w:rFonts w:ascii="Garamond" w:hAnsi="Garamond"/>
          <w:sz w:val="20"/>
          <w:szCs w:val="20"/>
          <w:lang w:val="id-ID"/>
        </w:rPr>
        <w:t>Boyd</w:t>
      </w:r>
      <w:proofErr w:type="spellEnd"/>
      <w:r w:rsidRPr="007B0278">
        <w:rPr>
          <w:rFonts w:ascii="Garamond" w:hAnsi="Garamond"/>
          <w:sz w:val="20"/>
          <w:szCs w:val="20"/>
          <w:lang w:val="id-ID"/>
        </w:rPr>
        <w:t xml:space="preserve">, D. R. (2017). </w:t>
      </w:r>
      <w:r w:rsidRPr="007B0278">
        <w:rPr>
          <w:rFonts w:ascii="Garamond" w:hAnsi="Garamond"/>
          <w:i/>
          <w:iCs/>
          <w:sz w:val="20"/>
          <w:szCs w:val="20"/>
          <w:lang w:val="id-ID"/>
        </w:rPr>
        <w:t xml:space="preserve">The </w:t>
      </w:r>
      <w:proofErr w:type="spellStart"/>
      <w:r w:rsidRPr="007B0278">
        <w:rPr>
          <w:rFonts w:ascii="Garamond" w:hAnsi="Garamond"/>
          <w:i/>
          <w:iCs/>
          <w:sz w:val="20"/>
          <w:szCs w:val="20"/>
          <w:lang w:val="id-ID"/>
        </w:rPr>
        <w:t>rights</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of</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nature</w:t>
      </w:r>
      <w:proofErr w:type="spellEnd"/>
      <w:r w:rsidRPr="007B0278">
        <w:rPr>
          <w:rFonts w:ascii="Garamond" w:hAnsi="Garamond"/>
          <w:i/>
          <w:iCs/>
          <w:sz w:val="20"/>
          <w:szCs w:val="20"/>
          <w:lang w:val="id-ID"/>
        </w:rPr>
        <w:t xml:space="preserve">: A legal </w:t>
      </w:r>
      <w:proofErr w:type="spellStart"/>
      <w:r w:rsidRPr="007B0278">
        <w:rPr>
          <w:rFonts w:ascii="Garamond" w:hAnsi="Garamond"/>
          <w:i/>
          <w:iCs/>
          <w:sz w:val="20"/>
          <w:szCs w:val="20"/>
          <w:lang w:val="id-ID"/>
        </w:rPr>
        <w:t>revolution</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that</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could</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save</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the</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world</w:t>
      </w:r>
      <w:proofErr w:type="spellEnd"/>
      <w:r w:rsidRPr="007B0278">
        <w:rPr>
          <w:rFonts w:ascii="Garamond" w:hAnsi="Garamond"/>
          <w:sz w:val="20"/>
          <w:szCs w:val="20"/>
          <w:lang w:val="id-ID"/>
        </w:rPr>
        <w:t xml:space="preserve">. ECW </w:t>
      </w:r>
      <w:proofErr w:type="spellStart"/>
      <w:r w:rsidRPr="007B0278">
        <w:rPr>
          <w:rFonts w:ascii="Garamond" w:hAnsi="Garamond"/>
          <w:sz w:val="20"/>
          <w:szCs w:val="20"/>
          <w:lang w:val="id-ID"/>
        </w:rPr>
        <w:t>Press</w:t>
      </w:r>
      <w:proofErr w:type="spellEnd"/>
      <w:r w:rsidRPr="007B0278">
        <w:rPr>
          <w:rFonts w:ascii="Garamond" w:hAnsi="Garamond"/>
          <w:sz w:val="20"/>
          <w:szCs w:val="20"/>
          <w:lang w:val="id-ID"/>
        </w:rPr>
        <w:t>.</w:t>
      </w:r>
    </w:p>
    <w:p w14:paraId="232FFA78" w14:textId="77777777" w:rsidR="007B0278" w:rsidRPr="007B0278" w:rsidRDefault="007B0278" w:rsidP="007B0278">
      <w:pPr>
        <w:ind w:left="284" w:hanging="284"/>
        <w:jc w:val="both"/>
        <w:rPr>
          <w:rFonts w:ascii="Garamond" w:hAnsi="Garamond"/>
          <w:sz w:val="20"/>
          <w:szCs w:val="20"/>
          <w:lang w:val="id-ID"/>
        </w:rPr>
      </w:pPr>
      <w:proofErr w:type="spellStart"/>
      <w:r w:rsidRPr="007B0278">
        <w:rPr>
          <w:rFonts w:ascii="Garamond" w:hAnsi="Garamond"/>
          <w:sz w:val="20"/>
          <w:szCs w:val="20"/>
          <w:lang w:val="id-ID"/>
        </w:rPr>
        <w:t>Burdon</w:t>
      </w:r>
      <w:proofErr w:type="spellEnd"/>
      <w:r w:rsidRPr="007B0278">
        <w:rPr>
          <w:rFonts w:ascii="Garamond" w:hAnsi="Garamond"/>
          <w:sz w:val="20"/>
          <w:szCs w:val="20"/>
          <w:lang w:val="id-ID"/>
        </w:rPr>
        <w:t xml:space="preserve">, P. (2015). </w:t>
      </w:r>
      <w:proofErr w:type="spellStart"/>
      <w:r w:rsidRPr="007B0278">
        <w:rPr>
          <w:rFonts w:ascii="Garamond" w:hAnsi="Garamond"/>
          <w:i/>
          <w:iCs/>
          <w:sz w:val="20"/>
          <w:szCs w:val="20"/>
          <w:lang w:val="id-ID"/>
        </w:rPr>
        <w:t>Earth</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jurisprudence</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Private</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property</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and</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the</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environment</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Routledge</w:t>
      </w:r>
      <w:proofErr w:type="spellEnd"/>
      <w:r w:rsidRPr="007B0278">
        <w:rPr>
          <w:rFonts w:ascii="Garamond" w:hAnsi="Garamond"/>
          <w:sz w:val="20"/>
          <w:szCs w:val="20"/>
          <w:lang w:val="id-ID"/>
        </w:rPr>
        <w:t>.</w:t>
      </w:r>
    </w:p>
    <w:p w14:paraId="02A88C50"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Ernawati, Y. (2021). Subjek hukum dalam hukum lingkungan Indonesia: Kebutuhan pengakuan terhadap hak-hak alam. </w:t>
      </w:r>
      <w:r w:rsidRPr="007B0278">
        <w:rPr>
          <w:rFonts w:ascii="Garamond" w:hAnsi="Garamond"/>
          <w:i/>
          <w:iCs/>
          <w:sz w:val="20"/>
          <w:szCs w:val="20"/>
          <w:lang w:val="id-ID"/>
        </w:rPr>
        <w:t>Jurnal Hukum Hijau</w:t>
      </w:r>
      <w:r w:rsidRPr="007B0278">
        <w:rPr>
          <w:rFonts w:ascii="Garamond" w:hAnsi="Garamond"/>
          <w:sz w:val="20"/>
          <w:szCs w:val="20"/>
          <w:lang w:val="id-ID"/>
        </w:rPr>
        <w:t xml:space="preserve">, </w:t>
      </w:r>
      <w:r w:rsidRPr="007B0278">
        <w:rPr>
          <w:rFonts w:ascii="Garamond" w:hAnsi="Garamond"/>
          <w:i/>
          <w:iCs/>
          <w:sz w:val="20"/>
          <w:szCs w:val="20"/>
          <w:lang w:val="id-ID"/>
        </w:rPr>
        <w:t>6</w:t>
      </w:r>
      <w:r w:rsidRPr="007B0278">
        <w:rPr>
          <w:rFonts w:ascii="Garamond" w:hAnsi="Garamond"/>
          <w:sz w:val="20"/>
          <w:szCs w:val="20"/>
          <w:lang w:val="id-ID"/>
        </w:rPr>
        <w:t xml:space="preserve">(2), 133–150. </w:t>
      </w:r>
      <w:hyperlink r:id="rId11" w:tgtFrame="_new" w:history="1">
        <w:r w:rsidRPr="007B0278">
          <w:rPr>
            <w:rStyle w:val="Hyperlink"/>
            <w:rFonts w:ascii="Garamond" w:hAnsi="Garamond"/>
            <w:sz w:val="20"/>
            <w:szCs w:val="20"/>
            <w:lang w:val="id-ID"/>
          </w:rPr>
          <w:t>https://doi.org/10.25077/jhhijau.v6i2.2211</w:t>
        </w:r>
      </w:hyperlink>
    </w:p>
    <w:p w14:paraId="171B8DD1"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Francisco, H. A. (2015). </w:t>
      </w:r>
      <w:proofErr w:type="spellStart"/>
      <w:r w:rsidRPr="007B0278">
        <w:rPr>
          <w:rFonts w:ascii="Garamond" w:hAnsi="Garamond"/>
          <w:sz w:val="20"/>
          <w:szCs w:val="20"/>
          <w:lang w:val="id-ID"/>
        </w:rPr>
        <w:t>Public</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interest</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litigation</w:t>
      </w:r>
      <w:proofErr w:type="spellEnd"/>
      <w:r w:rsidRPr="007B0278">
        <w:rPr>
          <w:rFonts w:ascii="Garamond" w:hAnsi="Garamond"/>
          <w:sz w:val="20"/>
          <w:szCs w:val="20"/>
          <w:lang w:val="id-ID"/>
        </w:rPr>
        <w:t xml:space="preserve"> in </w:t>
      </w:r>
      <w:proofErr w:type="spellStart"/>
      <w:r w:rsidRPr="007B0278">
        <w:rPr>
          <w:rFonts w:ascii="Garamond" w:hAnsi="Garamond"/>
          <w:sz w:val="20"/>
          <w:szCs w:val="20"/>
          <w:lang w:val="id-ID"/>
        </w:rPr>
        <w:t>environmental</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cases</w:t>
      </w:r>
      <w:proofErr w:type="spellEnd"/>
      <w:r w:rsidRPr="007B0278">
        <w:rPr>
          <w:rFonts w:ascii="Garamond" w:hAnsi="Garamond"/>
          <w:sz w:val="20"/>
          <w:szCs w:val="20"/>
          <w:lang w:val="id-ID"/>
        </w:rPr>
        <w:t xml:space="preserve"> in </w:t>
      </w:r>
      <w:proofErr w:type="spellStart"/>
      <w:r w:rsidRPr="007B0278">
        <w:rPr>
          <w:rFonts w:ascii="Garamond" w:hAnsi="Garamond"/>
          <w:sz w:val="20"/>
          <w:szCs w:val="20"/>
          <w:lang w:val="id-ID"/>
        </w:rPr>
        <w:t>the</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Philippines</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Successes</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and</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limitations</w:t>
      </w:r>
      <w:proofErr w:type="spellEnd"/>
      <w:r w:rsidRPr="007B0278">
        <w:rPr>
          <w:rFonts w:ascii="Garamond" w:hAnsi="Garamond"/>
          <w:sz w:val="20"/>
          <w:szCs w:val="20"/>
          <w:lang w:val="id-ID"/>
        </w:rPr>
        <w:t xml:space="preserve">. </w:t>
      </w:r>
      <w:proofErr w:type="spellStart"/>
      <w:r w:rsidRPr="007B0278">
        <w:rPr>
          <w:rFonts w:ascii="Garamond" w:hAnsi="Garamond"/>
          <w:i/>
          <w:iCs/>
          <w:sz w:val="20"/>
          <w:szCs w:val="20"/>
          <w:lang w:val="id-ID"/>
        </w:rPr>
        <w:t>Environmental</w:t>
      </w:r>
      <w:proofErr w:type="spellEnd"/>
      <w:r w:rsidRPr="007B0278">
        <w:rPr>
          <w:rFonts w:ascii="Garamond" w:hAnsi="Garamond"/>
          <w:i/>
          <w:iCs/>
          <w:sz w:val="20"/>
          <w:szCs w:val="20"/>
          <w:lang w:val="id-ID"/>
        </w:rPr>
        <w:t xml:space="preserve"> Law </w:t>
      </w:r>
      <w:proofErr w:type="spellStart"/>
      <w:r w:rsidRPr="007B0278">
        <w:rPr>
          <w:rFonts w:ascii="Garamond" w:hAnsi="Garamond"/>
          <w:i/>
          <w:iCs/>
          <w:sz w:val="20"/>
          <w:szCs w:val="20"/>
          <w:lang w:val="id-ID"/>
        </w:rPr>
        <w:t>Review</w:t>
      </w:r>
      <w:proofErr w:type="spellEnd"/>
      <w:r w:rsidRPr="007B0278">
        <w:rPr>
          <w:rFonts w:ascii="Garamond" w:hAnsi="Garamond"/>
          <w:sz w:val="20"/>
          <w:szCs w:val="20"/>
          <w:lang w:val="id-ID"/>
        </w:rPr>
        <w:t xml:space="preserve">, </w:t>
      </w:r>
      <w:r w:rsidRPr="007B0278">
        <w:rPr>
          <w:rFonts w:ascii="Garamond" w:hAnsi="Garamond"/>
          <w:i/>
          <w:iCs/>
          <w:sz w:val="20"/>
          <w:szCs w:val="20"/>
          <w:lang w:val="id-ID"/>
        </w:rPr>
        <w:t>17</w:t>
      </w:r>
      <w:r w:rsidRPr="007B0278">
        <w:rPr>
          <w:rFonts w:ascii="Garamond" w:hAnsi="Garamond"/>
          <w:sz w:val="20"/>
          <w:szCs w:val="20"/>
          <w:lang w:val="id-ID"/>
        </w:rPr>
        <w:t xml:space="preserve">(1), 45–59. </w:t>
      </w:r>
      <w:hyperlink r:id="rId12" w:tgtFrame="_new" w:history="1">
        <w:r w:rsidRPr="007B0278">
          <w:rPr>
            <w:rStyle w:val="Hyperlink"/>
            <w:rFonts w:ascii="Garamond" w:hAnsi="Garamond"/>
            <w:sz w:val="20"/>
            <w:szCs w:val="20"/>
            <w:lang w:val="id-ID"/>
          </w:rPr>
          <w:t>https://doi.org/10.1177/1461452914564473</w:t>
        </w:r>
      </w:hyperlink>
    </w:p>
    <w:p w14:paraId="171C399C" w14:textId="77777777" w:rsidR="007B0278" w:rsidRPr="007B0278" w:rsidRDefault="007B0278" w:rsidP="007B0278">
      <w:pPr>
        <w:ind w:left="284" w:hanging="284"/>
        <w:jc w:val="both"/>
        <w:rPr>
          <w:rFonts w:ascii="Garamond" w:hAnsi="Garamond"/>
          <w:sz w:val="20"/>
          <w:szCs w:val="20"/>
          <w:lang w:val="id-ID"/>
        </w:rPr>
      </w:pPr>
      <w:proofErr w:type="spellStart"/>
      <w:r w:rsidRPr="007B0278">
        <w:rPr>
          <w:rFonts w:ascii="Garamond" w:hAnsi="Garamond"/>
          <w:sz w:val="20"/>
          <w:szCs w:val="20"/>
          <w:lang w:val="id-ID"/>
        </w:rPr>
        <w:t>Gillespie</w:t>
      </w:r>
      <w:proofErr w:type="spellEnd"/>
      <w:r w:rsidRPr="007B0278">
        <w:rPr>
          <w:rFonts w:ascii="Garamond" w:hAnsi="Garamond"/>
          <w:sz w:val="20"/>
          <w:szCs w:val="20"/>
          <w:lang w:val="id-ID"/>
        </w:rPr>
        <w:t xml:space="preserve">, A. (2011). </w:t>
      </w:r>
      <w:proofErr w:type="spellStart"/>
      <w:r w:rsidRPr="007B0278">
        <w:rPr>
          <w:rFonts w:ascii="Garamond" w:hAnsi="Garamond"/>
          <w:sz w:val="20"/>
          <w:szCs w:val="20"/>
          <w:lang w:val="id-ID"/>
        </w:rPr>
        <w:t>Conflicting</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environmental</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laws</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and</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regulatory</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fragmentation</w:t>
      </w:r>
      <w:proofErr w:type="spellEnd"/>
      <w:r w:rsidRPr="007B0278">
        <w:rPr>
          <w:rFonts w:ascii="Garamond" w:hAnsi="Garamond"/>
          <w:sz w:val="20"/>
          <w:szCs w:val="20"/>
          <w:lang w:val="id-ID"/>
        </w:rPr>
        <w:t xml:space="preserve"> in </w:t>
      </w:r>
      <w:proofErr w:type="spellStart"/>
      <w:r w:rsidRPr="007B0278">
        <w:rPr>
          <w:rFonts w:ascii="Garamond" w:hAnsi="Garamond"/>
          <w:sz w:val="20"/>
          <w:szCs w:val="20"/>
          <w:lang w:val="id-ID"/>
        </w:rPr>
        <w:t>Southeast</w:t>
      </w:r>
      <w:proofErr w:type="spellEnd"/>
      <w:r w:rsidRPr="007B0278">
        <w:rPr>
          <w:rFonts w:ascii="Garamond" w:hAnsi="Garamond"/>
          <w:sz w:val="20"/>
          <w:szCs w:val="20"/>
          <w:lang w:val="id-ID"/>
        </w:rPr>
        <w:t xml:space="preserve"> Asia. </w:t>
      </w:r>
      <w:proofErr w:type="spellStart"/>
      <w:r w:rsidRPr="007B0278">
        <w:rPr>
          <w:rFonts w:ascii="Garamond" w:hAnsi="Garamond"/>
          <w:i/>
          <w:iCs/>
          <w:sz w:val="20"/>
          <w:szCs w:val="20"/>
          <w:lang w:val="id-ID"/>
        </w:rPr>
        <w:t>Environmental</w:t>
      </w:r>
      <w:proofErr w:type="spellEnd"/>
      <w:r w:rsidRPr="007B0278">
        <w:rPr>
          <w:rFonts w:ascii="Garamond" w:hAnsi="Garamond"/>
          <w:i/>
          <w:iCs/>
          <w:sz w:val="20"/>
          <w:szCs w:val="20"/>
          <w:lang w:val="id-ID"/>
        </w:rPr>
        <w:t xml:space="preserve"> Law </w:t>
      </w:r>
      <w:proofErr w:type="spellStart"/>
      <w:r w:rsidRPr="007B0278">
        <w:rPr>
          <w:rFonts w:ascii="Garamond" w:hAnsi="Garamond"/>
          <w:i/>
          <w:iCs/>
          <w:sz w:val="20"/>
          <w:szCs w:val="20"/>
          <w:lang w:val="id-ID"/>
        </w:rPr>
        <w:t>Review</w:t>
      </w:r>
      <w:proofErr w:type="spellEnd"/>
      <w:r w:rsidRPr="007B0278">
        <w:rPr>
          <w:rFonts w:ascii="Garamond" w:hAnsi="Garamond"/>
          <w:sz w:val="20"/>
          <w:szCs w:val="20"/>
          <w:lang w:val="id-ID"/>
        </w:rPr>
        <w:t xml:space="preserve">, </w:t>
      </w:r>
      <w:r w:rsidRPr="007B0278">
        <w:rPr>
          <w:rFonts w:ascii="Garamond" w:hAnsi="Garamond"/>
          <w:i/>
          <w:iCs/>
          <w:sz w:val="20"/>
          <w:szCs w:val="20"/>
          <w:lang w:val="id-ID"/>
        </w:rPr>
        <w:t>13</w:t>
      </w:r>
      <w:r w:rsidRPr="007B0278">
        <w:rPr>
          <w:rFonts w:ascii="Garamond" w:hAnsi="Garamond"/>
          <w:sz w:val="20"/>
          <w:szCs w:val="20"/>
          <w:lang w:val="id-ID"/>
        </w:rPr>
        <w:t xml:space="preserve">(4), 255–267. </w:t>
      </w:r>
      <w:hyperlink r:id="rId13" w:tgtFrame="_new" w:history="1">
        <w:r w:rsidRPr="007B0278">
          <w:rPr>
            <w:rStyle w:val="Hyperlink"/>
            <w:rFonts w:ascii="Garamond" w:hAnsi="Garamond"/>
            <w:sz w:val="20"/>
            <w:szCs w:val="20"/>
            <w:lang w:val="id-ID"/>
          </w:rPr>
          <w:t>https://doi.org/10.1177/146145291101300407</w:t>
        </w:r>
      </w:hyperlink>
    </w:p>
    <w:p w14:paraId="30DAE65F"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Haryani, S. (2022). Representasi lingkungan sebagai subjek hukum dalam sistem hukum Indonesia. </w:t>
      </w:r>
      <w:r w:rsidRPr="007B0278">
        <w:rPr>
          <w:rFonts w:ascii="Garamond" w:hAnsi="Garamond"/>
          <w:i/>
          <w:iCs/>
          <w:sz w:val="20"/>
          <w:szCs w:val="20"/>
          <w:lang w:val="id-ID"/>
        </w:rPr>
        <w:t>Jurnal Hukum Alam</w:t>
      </w:r>
      <w:r w:rsidRPr="007B0278">
        <w:rPr>
          <w:rFonts w:ascii="Garamond" w:hAnsi="Garamond"/>
          <w:sz w:val="20"/>
          <w:szCs w:val="20"/>
          <w:lang w:val="id-ID"/>
        </w:rPr>
        <w:t xml:space="preserve">, </w:t>
      </w:r>
      <w:r w:rsidRPr="007B0278">
        <w:rPr>
          <w:rFonts w:ascii="Garamond" w:hAnsi="Garamond"/>
          <w:i/>
          <w:iCs/>
          <w:sz w:val="20"/>
          <w:szCs w:val="20"/>
          <w:lang w:val="id-ID"/>
        </w:rPr>
        <w:t>5</w:t>
      </w:r>
      <w:r w:rsidRPr="007B0278">
        <w:rPr>
          <w:rFonts w:ascii="Garamond" w:hAnsi="Garamond"/>
          <w:sz w:val="20"/>
          <w:szCs w:val="20"/>
          <w:lang w:val="id-ID"/>
        </w:rPr>
        <w:t xml:space="preserve">(1), 67–82. </w:t>
      </w:r>
      <w:hyperlink r:id="rId14" w:tgtFrame="_new" w:history="1">
        <w:r w:rsidRPr="007B0278">
          <w:rPr>
            <w:rStyle w:val="Hyperlink"/>
            <w:rFonts w:ascii="Garamond" w:hAnsi="Garamond"/>
            <w:sz w:val="20"/>
            <w:szCs w:val="20"/>
            <w:lang w:val="id-ID"/>
          </w:rPr>
          <w:t>https://doi.org/10.26740/jha.v5i1.1220</w:t>
        </w:r>
      </w:hyperlink>
    </w:p>
    <w:p w14:paraId="58C4960A"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Maulida, N. (2020). Peran masyarakat dalam penegakan hukum lingkungan: Studi kasus partisipasi publik di Kalimantan Tengah. </w:t>
      </w:r>
      <w:r w:rsidRPr="007B0278">
        <w:rPr>
          <w:rFonts w:ascii="Garamond" w:hAnsi="Garamond"/>
          <w:i/>
          <w:iCs/>
          <w:sz w:val="20"/>
          <w:szCs w:val="20"/>
          <w:lang w:val="id-ID"/>
        </w:rPr>
        <w:t>Jurnal Hukum Progresif</w:t>
      </w:r>
      <w:r w:rsidRPr="007B0278">
        <w:rPr>
          <w:rFonts w:ascii="Garamond" w:hAnsi="Garamond"/>
          <w:sz w:val="20"/>
          <w:szCs w:val="20"/>
          <w:lang w:val="id-ID"/>
        </w:rPr>
        <w:t xml:space="preserve">, </w:t>
      </w:r>
      <w:r w:rsidRPr="007B0278">
        <w:rPr>
          <w:rFonts w:ascii="Garamond" w:hAnsi="Garamond"/>
          <w:i/>
          <w:iCs/>
          <w:sz w:val="20"/>
          <w:szCs w:val="20"/>
          <w:lang w:val="id-ID"/>
        </w:rPr>
        <w:t>11</w:t>
      </w:r>
      <w:r w:rsidRPr="007B0278">
        <w:rPr>
          <w:rFonts w:ascii="Garamond" w:hAnsi="Garamond"/>
          <w:sz w:val="20"/>
          <w:szCs w:val="20"/>
          <w:lang w:val="id-ID"/>
        </w:rPr>
        <w:t xml:space="preserve">(2), 145–160. </w:t>
      </w:r>
      <w:hyperlink r:id="rId15" w:tgtFrame="_new" w:history="1">
        <w:r w:rsidRPr="007B0278">
          <w:rPr>
            <w:rStyle w:val="Hyperlink"/>
            <w:rFonts w:ascii="Garamond" w:hAnsi="Garamond"/>
            <w:sz w:val="20"/>
            <w:szCs w:val="20"/>
            <w:lang w:val="id-ID"/>
          </w:rPr>
          <w:t>https://doi.org/10.25077/jhp.11.2.2020.145-160</w:t>
        </w:r>
      </w:hyperlink>
    </w:p>
    <w:p w14:paraId="08BCDB12"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Nurhidayah, R. (2020). Gugatan sederhana sebagai bentuk pembaruan hukum acara perdata di Indonesia. </w:t>
      </w:r>
      <w:r w:rsidRPr="007B0278">
        <w:rPr>
          <w:rFonts w:ascii="Garamond" w:hAnsi="Garamond"/>
          <w:i/>
          <w:iCs/>
          <w:sz w:val="20"/>
          <w:szCs w:val="20"/>
          <w:lang w:val="id-ID"/>
        </w:rPr>
        <w:t>Jurnal Yudisial</w:t>
      </w:r>
      <w:r w:rsidRPr="007B0278">
        <w:rPr>
          <w:rFonts w:ascii="Garamond" w:hAnsi="Garamond"/>
          <w:sz w:val="20"/>
          <w:szCs w:val="20"/>
          <w:lang w:val="id-ID"/>
        </w:rPr>
        <w:t xml:space="preserve">, </w:t>
      </w:r>
      <w:r w:rsidRPr="007B0278">
        <w:rPr>
          <w:rFonts w:ascii="Garamond" w:hAnsi="Garamond"/>
          <w:i/>
          <w:iCs/>
          <w:sz w:val="20"/>
          <w:szCs w:val="20"/>
          <w:lang w:val="id-ID"/>
        </w:rPr>
        <w:t>15</w:t>
      </w:r>
      <w:r w:rsidRPr="007B0278">
        <w:rPr>
          <w:rFonts w:ascii="Garamond" w:hAnsi="Garamond"/>
          <w:sz w:val="20"/>
          <w:szCs w:val="20"/>
          <w:lang w:val="id-ID"/>
        </w:rPr>
        <w:t xml:space="preserve">(3), 123–137. </w:t>
      </w:r>
      <w:hyperlink r:id="rId16" w:tgtFrame="_new" w:history="1">
        <w:r w:rsidRPr="007B0278">
          <w:rPr>
            <w:rStyle w:val="Hyperlink"/>
            <w:rFonts w:ascii="Garamond" w:hAnsi="Garamond"/>
            <w:sz w:val="20"/>
            <w:szCs w:val="20"/>
            <w:lang w:val="id-ID"/>
          </w:rPr>
          <w:t>https://doi.org/10.25041/jy.v15i3.2099</w:t>
        </w:r>
      </w:hyperlink>
    </w:p>
    <w:p w14:paraId="502D086C"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Nurhidayati, A. (2021). Reformasi pendidikan hukum dalam perspektif keadilan ekologis. </w:t>
      </w:r>
      <w:r w:rsidRPr="007B0278">
        <w:rPr>
          <w:rFonts w:ascii="Garamond" w:hAnsi="Garamond"/>
          <w:i/>
          <w:iCs/>
          <w:sz w:val="20"/>
          <w:szCs w:val="20"/>
          <w:lang w:val="id-ID"/>
        </w:rPr>
        <w:t>Jurnal Ilmu Hukum dan Pendidikan</w:t>
      </w:r>
      <w:r w:rsidRPr="007B0278">
        <w:rPr>
          <w:rFonts w:ascii="Garamond" w:hAnsi="Garamond"/>
          <w:sz w:val="20"/>
          <w:szCs w:val="20"/>
          <w:lang w:val="id-ID"/>
        </w:rPr>
        <w:t xml:space="preserve">, </w:t>
      </w:r>
      <w:r w:rsidRPr="007B0278">
        <w:rPr>
          <w:rFonts w:ascii="Garamond" w:hAnsi="Garamond"/>
          <w:i/>
          <w:iCs/>
          <w:sz w:val="20"/>
          <w:szCs w:val="20"/>
          <w:lang w:val="id-ID"/>
        </w:rPr>
        <w:t>10</w:t>
      </w:r>
      <w:r w:rsidRPr="007B0278">
        <w:rPr>
          <w:rFonts w:ascii="Garamond" w:hAnsi="Garamond"/>
          <w:sz w:val="20"/>
          <w:szCs w:val="20"/>
          <w:lang w:val="id-ID"/>
        </w:rPr>
        <w:t xml:space="preserve">(3), 231–246. </w:t>
      </w:r>
      <w:hyperlink r:id="rId17" w:tgtFrame="_new" w:history="1">
        <w:r w:rsidRPr="007B0278">
          <w:rPr>
            <w:rStyle w:val="Hyperlink"/>
            <w:rFonts w:ascii="Garamond" w:hAnsi="Garamond"/>
            <w:sz w:val="20"/>
            <w:szCs w:val="20"/>
            <w:lang w:val="id-ID"/>
          </w:rPr>
          <w:t>https://doi.org/10.31141/jihp.v10i3.4533</w:t>
        </w:r>
      </w:hyperlink>
    </w:p>
    <w:p w14:paraId="6AA8EAA1" w14:textId="77777777" w:rsidR="007B0278" w:rsidRPr="007B0278" w:rsidRDefault="007B0278" w:rsidP="007B0278">
      <w:pPr>
        <w:ind w:left="284" w:hanging="284"/>
        <w:jc w:val="both"/>
        <w:rPr>
          <w:rFonts w:ascii="Garamond" w:hAnsi="Garamond"/>
          <w:sz w:val="20"/>
          <w:szCs w:val="20"/>
          <w:lang w:val="id-ID"/>
        </w:rPr>
      </w:pPr>
      <w:proofErr w:type="spellStart"/>
      <w:r w:rsidRPr="007B0278">
        <w:rPr>
          <w:rFonts w:ascii="Garamond" w:hAnsi="Garamond"/>
          <w:sz w:val="20"/>
          <w:szCs w:val="20"/>
          <w:lang w:val="id-ID"/>
        </w:rPr>
        <w:t>O’Donnell</w:t>
      </w:r>
      <w:proofErr w:type="spellEnd"/>
      <w:r w:rsidRPr="007B0278">
        <w:rPr>
          <w:rFonts w:ascii="Garamond" w:hAnsi="Garamond"/>
          <w:sz w:val="20"/>
          <w:szCs w:val="20"/>
          <w:lang w:val="id-ID"/>
        </w:rPr>
        <w:t xml:space="preserve">, E., &amp; </w:t>
      </w:r>
      <w:proofErr w:type="spellStart"/>
      <w:r w:rsidRPr="007B0278">
        <w:rPr>
          <w:rFonts w:ascii="Garamond" w:hAnsi="Garamond"/>
          <w:sz w:val="20"/>
          <w:szCs w:val="20"/>
          <w:lang w:val="id-ID"/>
        </w:rPr>
        <w:t>Talbot</w:t>
      </w:r>
      <w:proofErr w:type="spellEnd"/>
      <w:r w:rsidRPr="007B0278">
        <w:rPr>
          <w:rFonts w:ascii="Garamond" w:hAnsi="Garamond"/>
          <w:sz w:val="20"/>
          <w:szCs w:val="20"/>
          <w:lang w:val="id-ID"/>
        </w:rPr>
        <w:t xml:space="preserve">-Jones, J. (2018). </w:t>
      </w:r>
      <w:proofErr w:type="spellStart"/>
      <w:r w:rsidRPr="007B0278">
        <w:rPr>
          <w:rFonts w:ascii="Garamond" w:hAnsi="Garamond"/>
          <w:sz w:val="20"/>
          <w:szCs w:val="20"/>
          <w:lang w:val="id-ID"/>
        </w:rPr>
        <w:t>Creating</w:t>
      </w:r>
      <w:proofErr w:type="spellEnd"/>
      <w:r w:rsidRPr="007B0278">
        <w:rPr>
          <w:rFonts w:ascii="Garamond" w:hAnsi="Garamond"/>
          <w:sz w:val="20"/>
          <w:szCs w:val="20"/>
          <w:lang w:val="id-ID"/>
        </w:rPr>
        <w:t xml:space="preserve"> legal </w:t>
      </w:r>
      <w:proofErr w:type="spellStart"/>
      <w:r w:rsidRPr="007B0278">
        <w:rPr>
          <w:rFonts w:ascii="Garamond" w:hAnsi="Garamond"/>
          <w:sz w:val="20"/>
          <w:szCs w:val="20"/>
          <w:lang w:val="id-ID"/>
        </w:rPr>
        <w:t>rights</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for</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rivers</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Lessons</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from</w:t>
      </w:r>
      <w:proofErr w:type="spellEnd"/>
      <w:r w:rsidRPr="007B0278">
        <w:rPr>
          <w:rFonts w:ascii="Garamond" w:hAnsi="Garamond"/>
          <w:sz w:val="20"/>
          <w:szCs w:val="20"/>
          <w:lang w:val="id-ID"/>
        </w:rPr>
        <w:t xml:space="preserve"> Australia, New </w:t>
      </w:r>
      <w:proofErr w:type="spellStart"/>
      <w:r w:rsidRPr="007B0278">
        <w:rPr>
          <w:rFonts w:ascii="Garamond" w:hAnsi="Garamond"/>
          <w:sz w:val="20"/>
          <w:szCs w:val="20"/>
          <w:lang w:val="id-ID"/>
        </w:rPr>
        <w:t>Zealand</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and</w:t>
      </w:r>
      <w:proofErr w:type="spellEnd"/>
      <w:r w:rsidRPr="007B0278">
        <w:rPr>
          <w:rFonts w:ascii="Garamond" w:hAnsi="Garamond"/>
          <w:sz w:val="20"/>
          <w:szCs w:val="20"/>
          <w:lang w:val="id-ID"/>
        </w:rPr>
        <w:t xml:space="preserve"> India. </w:t>
      </w:r>
      <w:proofErr w:type="spellStart"/>
      <w:r w:rsidRPr="007B0278">
        <w:rPr>
          <w:rFonts w:ascii="Garamond" w:hAnsi="Garamond"/>
          <w:i/>
          <w:iCs/>
          <w:sz w:val="20"/>
          <w:szCs w:val="20"/>
          <w:lang w:val="id-ID"/>
        </w:rPr>
        <w:t>Ecology</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and</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Society</w:t>
      </w:r>
      <w:proofErr w:type="spellEnd"/>
      <w:r w:rsidRPr="007B0278">
        <w:rPr>
          <w:rFonts w:ascii="Garamond" w:hAnsi="Garamond"/>
          <w:sz w:val="20"/>
          <w:szCs w:val="20"/>
          <w:lang w:val="id-ID"/>
        </w:rPr>
        <w:t xml:space="preserve">, </w:t>
      </w:r>
      <w:r w:rsidRPr="007B0278">
        <w:rPr>
          <w:rFonts w:ascii="Garamond" w:hAnsi="Garamond"/>
          <w:i/>
          <w:iCs/>
          <w:sz w:val="20"/>
          <w:szCs w:val="20"/>
          <w:lang w:val="id-ID"/>
        </w:rPr>
        <w:t>23</w:t>
      </w:r>
      <w:r w:rsidRPr="007B0278">
        <w:rPr>
          <w:rFonts w:ascii="Garamond" w:hAnsi="Garamond"/>
          <w:sz w:val="20"/>
          <w:szCs w:val="20"/>
          <w:lang w:val="id-ID"/>
        </w:rPr>
        <w:t xml:space="preserve">(1), 1–9. </w:t>
      </w:r>
      <w:hyperlink r:id="rId18" w:tgtFrame="_new" w:history="1">
        <w:r w:rsidRPr="007B0278">
          <w:rPr>
            <w:rStyle w:val="Hyperlink"/>
            <w:rFonts w:ascii="Garamond" w:hAnsi="Garamond"/>
            <w:sz w:val="20"/>
            <w:szCs w:val="20"/>
            <w:lang w:val="id-ID"/>
          </w:rPr>
          <w:t>https://doi.org/10.5751/ES-09854-230107</w:t>
        </w:r>
      </w:hyperlink>
    </w:p>
    <w:p w14:paraId="6D3E02B2"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Preston, B. J. (2009). </w:t>
      </w:r>
      <w:proofErr w:type="spellStart"/>
      <w:r w:rsidRPr="007B0278">
        <w:rPr>
          <w:rFonts w:ascii="Garamond" w:hAnsi="Garamond"/>
          <w:sz w:val="20"/>
          <w:szCs w:val="20"/>
          <w:lang w:val="id-ID"/>
        </w:rPr>
        <w:t>Characteristics</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of</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successful</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environmental</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courts</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and</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tribunals</w:t>
      </w:r>
      <w:proofErr w:type="spellEnd"/>
      <w:r w:rsidRPr="007B0278">
        <w:rPr>
          <w:rFonts w:ascii="Garamond" w:hAnsi="Garamond"/>
          <w:sz w:val="20"/>
          <w:szCs w:val="20"/>
          <w:lang w:val="id-ID"/>
        </w:rPr>
        <w:t xml:space="preserve">. </w:t>
      </w:r>
      <w:proofErr w:type="spellStart"/>
      <w:r w:rsidRPr="007B0278">
        <w:rPr>
          <w:rFonts w:ascii="Garamond" w:hAnsi="Garamond"/>
          <w:i/>
          <w:iCs/>
          <w:sz w:val="20"/>
          <w:szCs w:val="20"/>
          <w:lang w:val="id-ID"/>
        </w:rPr>
        <w:t>Journal</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of</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Environmental</w:t>
      </w:r>
      <w:proofErr w:type="spellEnd"/>
      <w:r w:rsidRPr="007B0278">
        <w:rPr>
          <w:rFonts w:ascii="Garamond" w:hAnsi="Garamond"/>
          <w:i/>
          <w:iCs/>
          <w:sz w:val="20"/>
          <w:szCs w:val="20"/>
          <w:lang w:val="id-ID"/>
        </w:rPr>
        <w:t xml:space="preserve"> Law</w:t>
      </w:r>
      <w:r w:rsidRPr="007B0278">
        <w:rPr>
          <w:rFonts w:ascii="Garamond" w:hAnsi="Garamond"/>
          <w:sz w:val="20"/>
          <w:szCs w:val="20"/>
          <w:lang w:val="id-ID"/>
        </w:rPr>
        <w:t xml:space="preserve">, </w:t>
      </w:r>
      <w:r w:rsidRPr="007B0278">
        <w:rPr>
          <w:rFonts w:ascii="Garamond" w:hAnsi="Garamond"/>
          <w:i/>
          <w:iCs/>
          <w:sz w:val="20"/>
          <w:szCs w:val="20"/>
          <w:lang w:val="id-ID"/>
        </w:rPr>
        <w:t>21</w:t>
      </w:r>
      <w:r w:rsidRPr="007B0278">
        <w:rPr>
          <w:rFonts w:ascii="Garamond" w:hAnsi="Garamond"/>
          <w:sz w:val="20"/>
          <w:szCs w:val="20"/>
          <w:lang w:val="id-ID"/>
        </w:rPr>
        <w:t xml:space="preserve">(2), 413–441. </w:t>
      </w:r>
      <w:hyperlink r:id="rId19" w:tgtFrame="_new" w:history="1">
        <w:r w:rsidRPr="007B0278">
          <w:rPr>
            <w:rStyle w:val="Hyperlink"/>
            <w:rFonts w:ascii="Garamond" w:hAnsi="Garamond"/>
            <w:sz w:val="20"/>
            <w:szCs w:val="20"/>
            <w:lang w:val="id-ID"/>
          </w:rPr>
          <w:t>https://doi.org/10.1093/jel/eqp019</w:t>
        </w:r>
      </w:hyperlink>
    </w:p>
    <w:p w14:paraId="7EFA4931"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Putri, R. A. (2023). Evaluasi putusan pengadilan lingkungan pasca UU Cipta Kerja: Studi kasus pencemaran sungai. </w:t>
      </w:r>
      <w:r w:rsidRPr="007B0278">
        <w:rPr>
          <w:rFonts w:ascii="Garamond" w:hAnsi="Garamond"/>
          <w:i/>
          <w:iCs/>
          <w:sz w:val="20"/>
          <w:szCs w:val="20"/>
          <w:lang w:val="id-ID"/>
        </w:rPr>
        <w:t>Jurnal Legislasi Hijau</w:t>
      </w:r>
      <w:r w:rsidRPr="007B0278">
        <w:rPr>
          <w:rFonts w:ascii="Garamond" w:hAnsi="Garamond"/>
          <w:sz w:val="20"/>
          <w:szCs w:val="20"/>
          <w:lang w:val="id-ID"/>
        </w:rPr>
        <w:t xml:space="preserve">, </w:t>
      </w:r>
      <w:r w:rsidRPr="007B0278">
        <w:rPr>
          <w:rFonts w:ascii="Garamond" w:hAnsi="Garamond"/>
          <w:i/>
          <w:iCs/>
          <w:sz w:val="20"/>
          <w:szCs w:val="20"/>
          <w:lang w:val="id-ID"/>
        </w:rPr>
        <w:t>7</w:t>
      </w:r>
      <w:r w:rsidRPr="007B0278">
        <w:rPr>
          <w:rFonts w:ascii="Garamond" w:hAnsi="Garamond"/>
          <w:sz w:val="20"/>
          <w:szCs w:val="20"/>
          <w:lang w:val="id-ID"/>
        </w:rPr>
        <w:t xml:space="preserve">(1), 88–104. </w:t>
      </w:r>
      <w:hyperlink r:id="rId20" w:tgtFrame="_new" w:history="1">
        <w:r w:rsidRPr="007B0278">
          <w:rPr>
            <w:rStyle w:val="Hyperlink"/>
            <w:rFonts w:ascii="Garamond" w:hAnsi="Garamond"/>
            <w:sz w:val="20"/>
            <w:szCs w:val="20"/>
            <w:lang w:val="id-ID"/>
          </w:rPr>
          <w:t>https://doi.org/10.25077/jlh.7.1.2023.88-104</w:t>
        </w:r>
      </w:hyperlink>
    </w:p>
    <w:p w14:paraId="62D6D79B"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Ramadhani, A. (2023). Implementasi </w:t>
      </w:r>
      <w:proofErr w:type="spellStart"/>
      <w:r w:rsidRPr="007B0278">
        <w:rPr>
          <w:rFonts w:ascii="Garamond" w:hAnsi="Garamond"/>
          <w:sz w:val="20"/>
          <w:szCs w:val="20"/>
          <w:lang w:val="id-ID"/>
        </w:rPr>
        <w:t>Perma</w:t>
      </w:r>
      <w:proofErr w:type="spellEnd"/>
      <w:r w:rsidRPr="007B0278">
        <w:rPr>
          <w:rFonts w:ascii="Garamond" w:hAnsi="Garamond"/>
          <w:sz w:val="20"/>
          <w:szCs w:val="20"/>
          <w:lang w:val="id-ID"/>
        </w:rPr>
        <w:t xml:space="preserve"> No. 4 Tahun 2019 dalam penyelesaian gugatan sederhana: Studi di Pengadilan Negeri Surabaya. </w:t>
      </w:r>
      <w:r w:rsidRPr="007B0278">
        <w:rPr>
          <w:rFonts w:ascii="Garamond" w:hAnsi="Garamond"/>
          <w:i/>
          <w:iCs/>
          <w:sz w:val="20"/>
          <w:szCs w:val="20"/>
          <w:lang w:val="id-ID"/>
        </w:rPr>
        <w:t>Jurnal Hukum dan Peradilan</w:t>
      </w:r>
      <w:r w:rsidRPr="007B0278">
        <w:rPr>
          <w:rFonts w:ascii="Garamond" w:hAnsi="Garamond"/>
          <w:sz w:val="20"/>
          <w:szCs w:val="20"/>
          <w:lang w:val="id-ID"/>
        </w:rPr>
        <w:t xml:space="preserve">, </w:t>
      </w:r>
      <w:r w:rsidRPr="007B0278">
        <w:rPr>
          <w:rFonts w:ascii="Garamond" w:hAnsi="Garamond"/>
          <w:i/>
          <w:iCs/>
          <w:sz w:val="20"/>
          <w:szCs w:val="20"/>
          <w:lang w:val="id-ID"/>
        </w:rPr>
        <w:t>11</w:t>
      </w:r>
      <w:r w:rsidRPr="007B0278">
        <w:rPr>
          <w:rFonts w:ascii="Garamond" w:hAnsi="Garamond"/>
          <w:sz w:val="20"/>
          <w:szCs w:val="20"/>
          <w:lang w:val="id-ID"/>
        </w:rPr>
        <w:t xml:space="preserve">(2), 89–104. </w:t>
      </w:r>
      <w:hyperlink r:id="rId21" w:tgtFrame="_new" w:history="1">
        <w:r w:rsidRPr="007B0278">
          <w:rPr>
            <w:rStyle w:val="Hyperlink"/>
            <w:rFonts w:ascii="Garamond" w:hAnsi="Garamond"/>
            <w:sz w:val="20"/>
            <w:szCs w:val="20"/>
            <w:lang w:val="id-ID"/>
          </w:rPr>
          <w:t>https://doi.org/10.22146/jhp.11.2.5674</w:t>
        </w:r>
      </w:hyperlink>
    </w:p>
    <w:p w14:paraId="671A4A6B"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Rohmah, M. N. (2021). Penafsiran hukum lingkungan dengan pendekatan progresif: Tinjauan putusan peradilan hijau. </w:t>
      </w:r>
      <w:r w:rsidRPr="007B0278">
        <w:rPr>
          <w:rFonts w:ascii="Garamond" w:hAnsi="Garamond"/>
          <w:i/>
          <w:iCs/>
          <w:sz w:val="20"/>
          <w:szCs w:val="20"/>
          <w:lang w:val="id-ID"/>
        </w:rPr>
        <w:t>Jurnal Progresivitas Hukum</w:t>
      </w:r>
      <w:r w:rsidRPr="007B0278">
        <w:rPr>
          <w:rFonts w:ascii="Garamond" w:hAnsi="Garamond"/>
          <w:sz w:val="20"/>
          <w:szCs w:val="20"/>
          <w:lang w:val="id-ID"/>
        </w:rPr>
        <w:t xml:space="preserve">, </w:t>
      </w:r>
      <w:r w:rsidRPr="007B0278">
        <w:rPr>
          <w:rFonts w:ascii="Garamond" w:hAnsi="Garamond"/>
          <w:i/>
          <w:iCs/>
          <w:sz w:val="20"/>
          <w:szCs w:val="20"/>
          <w:lang w:val="id-ID"/>
        </w:rPr>
        <w:t>10</w:t>
      </w:r>
      <w:r w:rsidRPr="007B0278">
        <w:rPr>
          <w:rFonts w:ascii="Garamond" w:hAnsi="Garamond"/>
          <w:sz w:val="20"/>
          <w:szCs w:val="20"/>
          <w:lang w:val="id-ID"/>
        </w:rPr>
        <w:t xml:space="preserve">(1), 33–49. </w:t>
      </w:r>
      <w:hyperlink r:id="rId22" w:tgtFrame="_new" w:history="1">
        <w:r w:rsidRPr="007B0278">
          <w:rPr>
            <w:rStyle w:val="Hyperlink"/>
            <w:rFonts w:ascii="Garamond" w:hAnsi="Garamond"/>
            <w:sz w:val="20"/>
            <w:szCs w:val="20"/>
            <w:lang w:val="id-ID"/>
          </w:rPr>
          <w:t>https://doi.org/10.25077/jph.v10i1.435</w:t>
        </w:r>
      </w:hyperlink>
    </w:p>
    <w:p w14:paraId="76A5E766"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Salmon, G. (2020). Legal </w:t>
      </w:r>
      <w:proofErr w:type="spellStart"/>
      <w:r w:rsidRPr="007B0278">
        <w:rPr>
          <w:rFonts w:ascii="Garamond" w:hAnsi="Garamond"/>
          <w:sz w:val="20"/>
          <w:szCs w:val="20"/>
          <w:lang w:val="id-ID"/>
        </w:rPr>
        <w:t>innovation</w:t>
      </w:r>
      <w:proofErr w:type="spellEnd"/>
      <w:r w:rsidRPr="007B0278">
        <w:rPr>
          <w:rFonts w:ascii="Garamond" w:hAnsi="Garamond"/>
          <w:sz w:val="20"/>
          <w:szCs w:val="20"/>
          <w:lang w:val="id-ID"/>
        </w:rPr>
        <w:t xml:space="preserve"> in </w:t>
      </w:r>
      <w:proofErr w:type="spellStart"/>
      <w:r w:rsidRPr="007B0278">
        <w:rPr>
          <w:rFonts w:ascii="Garamond" w:hAnsi="Garamond"/>
          <w:sz w:val="20"/>
          <w:szCs w:val="20"/>
          <w:lang w:val="id-ID"/>
        </w:rPr>
        <w:t>environmental</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litigation</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Valuing</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ecosystem</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services</w:t>
      </w:r>
      <w:proofErr w:type="spellEnd"/>
      <w:r w:rsidRPr="007B0278">
        <w:rPr>
          <w:rFonts w:ascii="Garamond" w:hAnsi="Garamond"/>
          <w:sz w:val="20"/>
          <w:szCs w:val="20"/>
          <w:lang w:val="id-ID"/>
        </w:rPr>
        <w:t xml:space="preserve"> in New </w:t>
      </w:r>
      <w:proofErr w:type="spellStart"/>
      <w:r w:rsidRPr="007B0278">
        <w:rPr>
          <w:rFonts w:ascii="Garamond" w:hAnsi="Garamond"/>
          <w:sz w:val="20"/>
          <w:szCs w:val="20"/>
          <w:lang w:val="id-ID"/>
        </w:rPr>
        <w:t>Zealand</w:t>
      </w:r>
      <w:proofErr w:type="spellEnd"/>
      <w:r w:rsidRPr="007B0278">
        <w:rPr>
          <w:rFonts w:ascii="Garamond" w:hAnsi="Garamond"/>
          <w:sz w:val="20"/>
          <w:szCs w:val="20"/>
          <w:lang w:val="id-ID"/>
        </w:rPr>
        <w:t xml:space="preserve"> </w:t>
      </w:r>
      <w:proofErr w:type="spellStart"/>
      <w:r w:rsidRPr="007B0278">
        <w:rPr>
          <w:rFonts w:ascii="Garamond" w:hAnsi="Garamond"/>
          <w:sz w:val="20"/>
          <w:szCs w:val="20"/>
          <w:lang w:val="id-ID"/>
        </w:rPr>
        <w:t>courts</w:t>
      </w:r>
      <w:proofErr w:type="spellEnd"/>
      <w:r w:rsidRPr="007B0278">
        <w:rPr>
          <w:rFonts w:ascii="Garamond" w:hAnsi="Garamond"/>
          <w:sz w:val="20"/>
          <w:szCs w:val="20"/>
          <w:lang w:val="id-ID"/>
        </w:rPr>
        <w:t xml:space="preserve">. </w:t>
      </w:r>
      <w:proofErr w:type="spellStart"/>
      <w:r w:rsidRPr="007B0278">
        <w:rPr>
          <w:rFonts w:ascii="Garamond" w:hAnsi="Garamond"/>
          <w:i/>
          <w:iCs/>
          <w:sz w:val="20"/>
          <w:szCs w:val="20"/>
          <w:lang w:val="id-ID"/>
        </w:rPr>
        <w:t>Environmental</w:t>
      </w:r>
      <w:proofErr w:type="spellEnd"/>
      <w:r w:rsidRPr="007B0278">
        <w:rPr>
          <w:rFonts w:ascii="Garamond" w:hAnsi="Garamond"/>
          <w:i/>
          <w:iCs/>
          <w:sz w:val="20"/>
          <w:szCs w:val="20"/>
          <w:lang w:val="id-ID"/>
        </w:rPr>
        <w:t xml:space="preserve"> Law </w:t>
      </w:r>
      <w:proofErr w:type="spellStart"/>
      <w:r w:rsidRPr="007B0278">
        <w:rPr>
          <w:rFonts w:ascii="Garamond" w:hAnsi="Garamond"/>
          <w:i/>
          <w:iCs/>
          <w:sz w:val="20"/>
          <w:szCs w:val="20"/>
          <w:lang w:val="id-ID"/>
        </w:rPr>
        <w:t>Review</w:t>
      </w:r>
      <w:proofErr w:type="spellEnd"/>
      <w:r w:rsidRPr="007B0278">
        <w:rPr>
          <w:rFonts w:ascii="Garamond" w:hAnsi="Garamond"/>
          <w:sz w:val="20"/>
          <w:szCs w:val="20"/>
          <w:lang w:val="id-ID"/>
        </w:rPr>
        <w:t xml:space="preserve">, </w:t>
      </w:r>
      <w:r w:rsidRPr="007B0278">
        <w:rPr>
          <w:rFonts w:ascii="Garamond" w:hAnsi="Garamond"/>
          <w:i/>
          <w:iCs/>
          <w:sz w:val="20"/>
          <w:szCs w:val="20"/>
          <w:lang w:val="id-ID"/>
        </w:rPr>
        <w:t>22</w:t>
      </w:r>
      <w:r w:rsidRPr="007B0278">
        <w:rPr>
          <w:rFonts w:ascii="Garamond" w:hAnsi="Garamond"/>
          <w:sz w:val="20"/>
          <w:szCs w:val="20"/>
          <w:lang w:val="id-ID"/>
        </w:rPr>
        <w:t xml:space="preserve">(4), 367–382. </w:t>
      </w:r>
      <w:hyperlink r:id="rId23" w:tgtFrame="_new" w:history="1">
        <w:r w:rsidRPr="007B0278">
          <w:rPr>
            <w:rStyle w:val="Hyperlink"/>
            <w:rFonts w:ascii="Garamond" w:hAnsi="Garamond"/>
            <w:sz w:val="20"/>
            <w:szCs w:val="20"/>
            <w:lang w:val="id-ID"/>
          </w:rPr>
          <w:t>https://doi.org/10.1177/1461452920963485</w:t>
        </w:r>
      </w:hyperlink>
    </w:p>
    <w:p w14:paraId="55AB2FE9"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Santoso, D. (2021). Evaluasi efektivitas penyelesaian perkara melalui gugatan sederhana. </w:t>
      </w:r>
      <w:r w:rsidRPr="007B0278">
        <w:rPr>
          <w:rFonts w:ascii="Garamond" w:hAnsi="Garamond"/>
          <w:i/>
          <w:iCs/>
          <w:sz w:val="20"/>
          <w:szCs w:val="20"/>
          <w:lang w:val="id-ID"/>
        </w:rPr>
        <w:t>Jurnal Hukum Responsif</w:t>
      </w:r>
      <w:r w:rsidRPr="007B0278">
        <w:rPr>
          <w:rFonts w:ascii="Garamond" w:hAnsi="Garamond"/>
          <w:sz w:val="20"/>
          <w:szCs w:val="20"/>
          <w:lang w:val="id-ID"/>
        </w:rPr>
        <w:t xml:space="preserve">, </w:t>
      </w:r>
      <w:r w:rsidRPr="007B0278">
        <w:rPr>
          <w:rFonts w:ascii="Garamond" w:hAnsi="Garamond"/>
          <w:i/>
          <w:iCs/>
          <w:sz w:val="20"/>
          <w:szCs w:val="20"/>
          <w:lang w:val="id-ID"/>
        </w:rPr>
        <w:t>9</w:t>
      </w:r>
      <w:r w:rsidRPr="007B0278">
        <w:rPr>
          <w:rFonts w:ascii="Garamond" w:hAnsi="Garamond"/>
          <w:sz w:val="20"/>
          <w:szCs w:val="20"/>
          <w:lang w:val="id-ID"/>
        </w:rPr>
        <w:t xml:space="preserve">(1), 45–62. </w:t>
      </w:r>
      <w:hyperlink r:id="rId24" w:tgtFrame="_new" w:history="1">
        <w:r w:rsidRPr="007B0278">
          <w:rPr>
            <w:rStyle w:val="Hyperlink"/>
            <w:rFonts w:ascii="Garamond" w:hAnsi="Garamond"/>
            <w:sz w:val="20"/>
            <w:szCs w:val="20"/>
            <w:lang w:val="id-ID"/>
          </w:rPr>
          <w:t>https://doi.org/10.14710/jhr.v9i1.4501</w:t>
        </w:r>
      </w:hyperlink>
    </w:p>
    <w:p w14:paraId="2359E13A"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Setiawan, M. R. (2022). </w:t>
      </w:r>
      <w:proofErr w:type="spellStart"/>
      <w:r w:rsidRPr="007B0278">
        <w:rPr>
          <w:rFonts w:ascii="Garamond" w:hAnsi="Garamond"/>
          <w:sz w:val="20"/>
          <w:szCs w:val="20"/>
          <w:lang w:val="id-ID"/>
        </w:rPr>
        <w:t>Ketidakefisienan</w:t>
      </w:r>
      <w:proofErr w:type="spellEnd"/>
      <w:r w:rsidRPr="007B0278">
        <w:rPr>
          <w:rFonts w:ascii="Garamond" w:hAnsi="Garamond"/>
          <w:sz w:val="20"/>
          <w:szCs w:val="20"/>
          <w:lang w:val="id-ID"/>
        </w:rPr>
        <w:t xml:space="preserve"> aparat penegak hukum dalam kasus kejahatan lingkungan: Perspektif yuridis dan institusional. </w:t>
      </w:r>
      <w:r w:rsidRPr="007B0278">
        <w:rPr>
          <w:rFonts w:ascii="Garamond" w:hAnsi="Garamond"/>
          <w:i/>
          <w:iCs/>
          <w:sz w:val="20"/>
          <w:szCs w:val="20"/>
          <w:lang w:val="id-ID"/>
        </w:rPr>
        <w:t>Jurnal Hukum Kriminologi Indonesia</w:t>
      </w:r>
      <w:r w:rsidRPr="007B0278">
        <w:rPr>
          <w:rFonts w:ascii="Garamond" w:hAnsi="Garamond"/>
          <w:sz w:val="20"/>
          <w:szCs w:val="20"/>
          <w:lang w:val="id-ID"/>
        </w:rPr>
        <w:t xml:space="preserve">, </w:t>
      </w:r>
      <w:r w:rsidRPr="007B0278">
        <w:rPr>
          <w:rFonts w:ascii="Garamond" w:hAnsi="Garamond"/>
          <w:i/>
          <w:iCs/>
          <w:sz w:val="20"/>
          <w:szCs w:val="20"/>
          <w:lang w:val="id-ID"/>
        </w:rPr>
        <w:t>13</w:t>
      </w:r>
      <w:r w:rsidRPr="007B0278">
        <w:rPr>
          <w:rFonts w:ascii="Garamond" w:hAnsi="Garamond"/>
          <w:sz w:val="20"/>
          <w:szCs w:val="20"/>
          <w:lang w:val="id-ID"/>
        </w:rPr>
        <w:t xml:space="preserve">(2), 149–165. </w:t>
      </w:r>
      <w:hyperlink r:id="rId25" w:tgtFrame="_new" w:history="1">
        <w:r w:rsidRPr="007B0278">
          <w:rPr>
            <w:rStyle w:val="Hyperlink"/>
            <w:rFonts w:ascii="Garamond" w:hAnsi="Garamond"/>
            <w:sz w:val="20"/>
            <w:szCs w:val="20"/>
            <w:lang w:val="id-ID"/>
          </w:rPr>
          <w:t>https://doi.org/10.31333/jhki.v13i2.3670</w:t>
        </w:r>
      </w:hyperlink>
    </w:p>
    <w:p w14:paraId="4A2230E8"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Sihombing, R. T. (2021). Akses terhadap keadilan melalui mekanisme gugatan sederhana. </w:t>
      </w:r>
      <w:r w:rsidRPr="007B0278">
        <w:rPr>
          <w:rFonts w:ascii="Garamond" w:hAnsi="Garamond"/>
          <w:i/>
          <w:iCs/>
          <w:sz w:val="20"/>
          <w:szCs w:val="20"/>
          <w:lang w:val="id-ID"/>
        </w:rPr>
        <w:t>Jurnal Hukum dan Keadilan</w:t>
      </w:r>
      <w:r w:rsidRPr="007B0278">
        <w:rPr>
          <w:rFonts w:ascii="Garamond" w:hAnsi="Garamond"/>
          <w:sz w:val="20"/>
          <w:szCs w:val="20"/>
          <w:lang w:val="id-ID"/>
        </w:rPr>
        <w:t xml:space="preserve">, </w:t>
      </w:r>
      <w:r w:rsidRPr="007B0278">
        <w:rPr>
          <w:rFonts w:ascii="Garamond" w:hAnsi="Garamond"/>
          <w:i/>
          <w:iCs/>
          <w:sz w:val="20"/>
          <w:szCs w:val="20"/>
          <w:lang w:val="id-ID"/>
        </w:rPr>
        <w:t>12</w:t>
      </w:r>
      <w:r w:rsidRPr="007B0278">
        <w:rPr>
          <w:rFonts w:ascii="Garamond" w:hAnsi="Garamond"/>
          <w:sz w:val="20"/>
          <w:szCs w:val="20"/>
          <w:lang w:val="id-ID"/>
        </w:rPr>
        <w:t xml:space="preserve">(1), 77–94. </w:t>
      </w:r>
      <w:hyperlink r:id="rId26" w:tgtFrame="_new" w:history="1">
        <w:r w:rsidRPr="007B0278">
          <w:rPr>
            <w:rStyle w:val="Hyperlink"/>
            <w:rFonts w:ascii="Garamond" w:hAnsi="Garamond"/>
            <w:sz w:val="20"/>
            <w:szCs w:val="20"/>
            <w:lang w:val="id-ID"/>
          </w:rPr>
          <w:t>https://doi.org/10.25077/jhk.12.1.2021.77-94</w:t>
        </w:r>
      </w:hyperlink>
    </w:p>
    <w:p w14:paraId="1CBB0F06"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Sodik, A. (2023). Membangun budaya hukum lingkungan yang progresif: Agenda besar pendidikan hukum Indonesia. </w:t>
      </w:r>
      <w:r w:rsidRPr="007B0278">
        <w:rPr>
          <w:rFonts w:ascii="Garamond" w:hAnsi="Garamond"/>
          <w:i/>
          <w:iCs/>
          <w:sz w:val="20"/>
          <w:szCs w:val="20"/>
          <w:lang w:val="id-ID"/>
        </w:rPr>
        <w:t>Jurnal Ilmu Sosial dan Hukum Hijau</w:t>
      </w:r>
      <w:r w:rsidRPr="007B0278">
        <w:rPr>
          <w:rFonts w:ascii="Garamond" w:hAnsi="Garamond"/>
          <w:sz w:val="20"/>
          <w:szCs w:val="20"/>
          <w:lang w:val="id-ID"/>
        </w:rPr>
        <w:t xml:space="preserve">, </w:t>
      </w:r>
      <w:r w:rsidRPr="007B0278">
        <w:rPr>
          <w:rFonts w:ascii="Garamond" w:hAnsi="Garamond"/>
          <w:i/>
          <w:iCs/>
          <w:sz w:val="20"/>
          <w:szCs w:val="20"/>
          <w:lang w:val="id-ID"/>
        </w:rPr>
        <w:t>15</w:t>
      </w:r>
      <w:r w:rsidRPr="007B0278">
        <w:rPr>
          <w:rFonts w:ascii="Garamond" w:hAnsi="Garamond"/>
          <w:sz w:val="20"/>
          <w:szCs w:val="20"/>
          <w:lang w:val="id-ID"/>
        </w:rPr>
        <w:t xml:space="preserve">(1), 51–66. </w:t>
      </w:r>
      <w:hyperlink r:id="rId27" w:tgtFrame="_new" w:history="1">
        <w:r w:rsidRPr="007B0278">
          <w:rPr>
            <w:rStyle w:val="Hyperlink"/>
            <w:rFonts w:ascii="Garamond" w:hAnsi="Garamond"/>
            <w:sz w:val="20"/>
            <w:szCs w:val="20"/>
            <w:lang w:val="id-ID"/>
          </w:rPr>
          <w:t>https://doi.org/10.22146/jishh.v15i1.5119</w:t>
        </w:r>
      </w:hyperlink>
    </w:p>
    <w:p w14:paraId="4F3C0B62"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Syahputra, M. (2022). Analisis yurisprudensi dalam perkara lingkungan hidup: Studi kasus putusan PTUN dan MA. </w:t>
      </w:r>
      <w:r w:rsidRPr="007B0278">
        <w:rPr>
          <w:rFonts w:ascii="Garamond" w:hAnsi="Garamond"/>
          <w:i/>
          <w:iCs/>
          <w:sz w:val="20"/>
          <w:szCs w:val="20"/>
          <w:lang w:val="id-ID"/>
        </w:rPr>
        <w:t>Jurnal Hukum Hijau</w:t>
      </w:r>
      <w:r w:rsidRPr="007B0278">
        <w:rPr>
          <w:rFonts w:ascii="Garamond" w:hAnsi="Garamond"/>
          <w:sz w:val="20"/>
          <w:szCs w:val="20"/>
          <w:lang w:val="id-ID"/>
        </w:rPr>
        <w:t xml:space="preserve">, </w:t>
      </w:r>
      <w:r w:rsidRPr="007B0278">
        <w:rPr>
          <w:rFonts w:ascii="Garamond" w:hAnsi="Garamond"/>
          <w:i/>
          <w:iCs/>
          <w:sz w:val="20"/>
          <w:szCs w:val="20"/>
          <w:lang w:val="id-ID"/>
        </w:rPr>
        <w:t>6</w:t>
      </w:r>
      <w:r w:rsidRPr="007B0278">
        <w:rPr>
          <w:rFonts w:ascii="Garamond" w:hAnsi="Garamond"/>
          <w:sz w:val="20"/>
          <w:szCs w:val="20"/>
          <w:lang w:val="id-ID"/>
        </w:rPr>
        <w:t xml:space="preserve">(1), 60–78. </w:t>
      </w:r>
      <w:hyperlink r:id="rId28" w:tgtFrame="_new" w:history="1">
        <w:r w:rsidRPr="007B0278">
          <w:rPr>
            <w:rStyle w:val="Hyperlink"/>
            <w:rFonts w:ascii="Garamond" w:hAnsi="Garamond"/>
            <w:sz w:val="20"/>
            <w:szCs w:val="20"/>
            <w:lang w:val="id-ID"/>
          </w:rPr>
          <w:t>https://doi.org/10.26740/jhh.v6i1.1203</w:t>
        </w:r>
      </w:hyperlink>
    </w:p>
    <w:p w14:paraId="4D8D7CE7"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Wijayanti, I. (2023). Keadilan ekologis sebagai paradigma hukum masa depan: Tinjauan kritis terhadap sistem hukum Indonesia. </w:t>
      </w:r>
      <w:r w:rsidRPr="007B0278">
        <w:rPr>
          <w:rFonts w:ascii="Garamond" w:hAnsi="Garamond"/>
          <w:i/>
          <w:iCs/>
          <w:sz w:val="20"/>
          <w:szCs w:val="20"/>
          <w:lang w:val="id-ID"/>
        </w:rPr>
        <w:t>Jurnal Hukum dan Transformasi Lingkungan</w:t>
      </w:r>
      <w:r w:rsidRPr="007B0278">
        <w:rPr>
          <w:rFonts w:ascii="Garamond" w:hAnsi="Garamond"/>
          <w:sz w:val="20"/>
          <w:szCs w:val="20"/>
          <w:lang w:val="id-ID"/>
        </w:rPr>
        <w:t xml:space="preserve">, </w:t>
      </w:r>
      <w:r w:rsidRPr="007B0278">
        <w:rPr>
          <w:rFonts w:ascii="Garamond" w:hAnsi="Garamond"/>
          <w:i/>
          <w:iCs/>
          <w:sz w:val="20"/>
          <w:szCs w:val="20"/>
          <w:lang w:val="id-ID"/>
        </w:rPr>
        <w:t>11</w:t>
      </w:r>
      <w:r w:rsidRPr="007B0278">
        <w:rPr>
          <w:rFonts w:ascii="Garamond" w:hAnsi="Garamond"/>
          <w:sz w:val="20"/>
          <w:szCs w:val="20"/>
          <w:lang w:val="id-ID"/>
        </w:rPr>
        <w:t xml:space="preserve">(1), 25–42. </w:t>
      </w:r>
      <w:hyperlink r:id="rId29" w:tgtFrame="_new" w:history="1">
        <w:r w:rsidRPr="007B0278">
          <w:rPr>
            <w:rStyle w:val="Hyperlink"/>
            <w:rFonts w:ascii="Garamond" w:hAnsi="Garamond"/>
            <w:sz w:val="20"/>
            <w:szCs w:val="20"/>
            <w:lang w:val="id-ID"/>
          </w:rPr>
          <w:t>https://doi.org/10.25077/jhtl.v11i1.5231</w:t>
        </w:r>
      </w:hyperlink>
    </w:p>
    <w:p w14:paraId="47FD7CA3"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Wibowo, S. (2023). Pemulihan ekologis sebagai bentuk sanksi dalam sistem hukum lingkungan. </w:t>
      </w:r>
      <w:r w:rsidRPr="007B0278">
        <w:rPr>
          <w:rFonts w:ascii="Garamond" w:hAnsi="Garamond"/>
          <w:i/>
          <w:iCs/>
          <w:sz w:val="20"/>
          <w:szCs w:val="20"/>
          <w:lang w:val="id-ID"/>
        </w:rPr>
        <w:t>Jurnal Legislasi dan Ekologi</w:t>
      </w:r>
      <w:r w:rsidRPr="007B0278">
        <w:rPr>
          <w:rFonts w:ascii="Garamond" w:hAnsi="Garamond"/>
          <w:sz w:val="20"/>
          <w:szCs w:val="20"/>
          <w:lang w:val="id-ID"/>
        </w:rPr>
        <w:t xml:space="preserve">, </w:t>
      </w:r>
      <w:r w:rsidRPr="007B0278">
        <w:rPr>
          <w:rFonts w:ascii="Garamond" w:hAnsi="Garamond"/>
          <w:i/>
          <w:iCs/>
          <w:sz w:val="20"/>
          <w:szCs w:val="20"/>
          <w:lang w:val="id-ID"/>
        </w:rPr>
        <w:t>9</w:t>
      </w:r>
      <w:r w:rsidRPr="007B0278">
        <w:rPr>
          <w:rFonts w:ascii="Garamond" w:hAnsi="Garamond"/>
          <w:sz w:val="20"/>
          <w:szCs w:val="20"/>
          <w:lang w:val="id-ID"/>
        </w:rPr>
        <w:t xml:space="preserve">(3), 149–167. </w:t>
      </w:r>
      <w:hyperlink r:id="rId30" w:tgtFrame="_new" w:history="1">
        <w:r w:rsidRPr="007B0278">
          <w:rPr>
            <w:rStyle w:val="Hyperlink"/>
            <w:rFonts w:ascii="Garamond" w:hAnsi="Garamond"/>
            <w:sz w:val="20"/>
            <w:szCs w:val="20"/>
            <w:lang w:val="id-ID"/>
          </w:rPr>
          <w:t>https://doi.org/10.26740/jle.v9i3.5522</w:t>
        </w:r>
      </w:hyperlink>
    </w:p>
    <w:p w14:paraId="62A3676F"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Wulandari, S. (2022). Akses terhadap keadilan bagi masyarakat terdampak kerusakan lingkungan di Indonesia. </w:t>
      </w:r>
      <w:r w:rsidRPr="007B0278">
        <w:rPr>
          <w:rFonts w:ascii="Garamond" w:hAnsi="Garamond"/>
          <w:i/>
          <w:iCs/>
          <w:sz w:val="20"/>
          <w:szCs w:val="20"/>
          <w:lang w:val="id-ID"/>
        </w:rPr>
        <w:t>Jurnal Hukum dan Masyarakat</w:t>
      </w:r>
      <w:r w:rsidRPr="007B0278">
        <w:rPr>
          <w:rFonts w:ascii="Garamond" w:hAnsi="Garamond"/>
          <w:sz w:val="20"/>
          <w:szCs w:val="20"/>
          <w:lang w:val="id-ID"/>
        </w:rPr>
        <w:t xml:space="preserve">, </w:t>
      </w:r>
      <w:r w:rsidRPr="007B0278">
        <w:rPr>
          <w:rFonts w:ascii="Garamond" w:hAnsi="Garamond"/>
          <w:i/>
          <w:iCs/>
          <w:sz w:val="20"/>
          <w:szCs w:val="20"/>
          <w:lang w:val="id-ID"/>
        </w:rPr>
        <w:t>12</w:t>
      </w:r>
      <w:r w:rsidRPr="007B0278">
        <w:rPr>
          <w:rFonts w:ascii="Garamond" w:hAnsi="Garamond"/>
          <w:sz w:val="20"/>
          <w:szCs w:val="20"/>
          <w:lang w:val="id-ID"/>
        </w:rPr>
        <w:t xml:space="preserve">(1), 58–76. </w:t>
      </w:r>
      <w:hyperlink r:id="rId31" w:tgtFrame="_new" w:history="1">
        <w:r w:rsidRPr="007B0278">
          <w:rPr>
            <w:rStyle w:val="Hyperlink"/>
            <w:rFonts w:ascii="Garamond" w:hAnsi="Garamond"/>
            <w:sz w:val="20"/>
            <w:szCs w:val="20"/>
            <w:lang w:val="id-ID"/>
          </w:rPr>
          <w:t>https://doi.org/10.35584/jhm.v12i1.5698</w:t>
        </w:r>
      </w:hyperlink>
    </w:p>
    <w:p w14:paraId="31C3EE95"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Yuliana, R. (2020). Akses informasi lingkungan dan peran partisipasi publik: Evaluasi kebijakan keterbukaan data lingkungan. </w:t>
      </w:r>
      <w:r w:rsidRPr="007B0278">
        <w:rPr>
          <w:rFonts w:ascii="Garamond" w:hAnsi="Garamond"/>
          <w:i/>
          <w:iCs/>
          <w:sz w:val="20"/>
          <w:szCs w:val="20"/>
          <w:lang w:val="id-ID"/>
        </w:rPr>
        <w:t>Jurnal Kebijakan Lingkungan Nasional</w:t>
      </w:r>
      <w:r w:rsidRPr="007B0278">
        <w:rPr>
          <w:rFonts w:ascii="Garamond" w:hAnsi="Garamond"/>
          <w:sz w:val="20"/>
          <w:szCs w:val="20"/>
          <w:lang w:val="id-ID"/>
        </w:rPr>
        <w:t xml:space="preserve">, </w:t>
      </w:r>
      <w:r w:rsidRPr="007B0278">
        <w:rPr>
          <w:rFonts w:ascii="Garamond" w:hAnsi="Garamond"/>
          <w:i/>
          <w:iCs/>
          <w:sz w:val="20"/>
          <w:szCs w:val="20"/>
          <w:lang w:val="id-ID"/>
        </w:rPr>
        <w:t>4</w:t>
      </w:r>
      <w:r w:rsidRPr="007B0278">
        <w:rPr>
          <w:rFonts w:ascii="Garamond" w:hAnsi="Garamond"/>
          <w:sz w:val="20"/>
          <w:szCs w:val="20"/>
          <w:lang w:val="id-ID"/>
        </w:rPr>
        <w:t xml:space="preserve">(1), 70–84. </w:t>
      </w:r>
      <w:hyperlink r:id="rId32" w:tgtFrame="_new" w:history="1">
        <w:r w:rsidRPr="007B0278">
          <w:rPr>
            <w:rStyle w:val="Hyperlink"/>
            <w:rFonts w:ascii="Garamond" w:hAnsi="Garamond"/>
            <w:sz w:val="20"/>
            <w:szCs w:val="20"/>
            <w:lang w:val="id-ID"/>
          </w:rPr>
          <w:t>https://doi.org/10.25077/jkln.v4i1.2341</w:t>
        </w:r>
      </w:hyperlink>
    </w:p>
    <w:p w14:paraId="44A49B20"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Yulianti, S., &amp; Prabowo, T. H. (2022). Permasalahan pembuktian dalam gugatan sederhana: Antara teori dan praktik. </w:t>
      </w:r>
      <w:r w:rsidRPr="007B0278">
        <w:rPr>
          <w:rFonts w:ascii="Garamond" w:hAnsi="Garamond"/>
          <w:i/>
          <w:iCs/>
          <w:sz w:val="20"/>
          <w:szCs w:val="20"/>
          <w:lang w:val="id-ID"/>
        </w:rPr>
        <w:t>Jurnal Ilmu Hukum Aktual</w:t>
      </w:r>
      <w:r w:rsidRPr="007B0278">
        <w:rPr>
          <w:rFonts w:ascii="Garamond" w:hAnsi="Garamond"/>
          <w:sz w:val="20"/>
          <w:szCs w:val="20"/>
          <w:lang w:val="id-ID"/>
        </w:rPr>
        <w:t xml:space="preserve">, </w:t>
      </w:r>
      <w:r w:rsidRPr="007B0278">
        <w:rPr>
          <w:rFonts w:ascii="Garamond" w:hAnsi="Garamond"/>
          <w:i/>
          <w:iCs/>
          <w:sz w:val="20"/>
          <w:szCs w:val="20"/>
          <w:lang w:val="id-ID"/>
        </w:rPr>
        <w:t>8</w:t>
      </w:r>
      <w:r w:rsidRPr="007B0278">
        <w:rPr>
          <w:rFonts w:ascii="Garamond" w:hAnsi="Garamond"/>
          <w:sz w:val="20"/>
          <w:szCs w:val="20"/>
          <w:lang w:val="id-ID"/>
        </w:rPr>
        <w:t xml:space="preserve">(2), 155–172. </w:t>
      </w:r>
      <w:hyperlink r:id="rId33" w:tgtFrame="_new" w:history="1">
        <w:r w:rsidRPr="007B0278">
          <w:rPr>
            <w:rStyle w:val="Hyperlink"/>
            <w:rFonts w:ascii="Garamond" w:hAnsi="Garamond"/>
            <w:sz w:val="20"/>
            <w:szCs w:val="20"/>
            <w:lang w:val="id-ID"/>
          </w:rPr>
          <w:t>https://doi.org/10.25041/jiha.v8i2.3911</w:t>
        </w:r>
      </w:hyperlink>
    </w:p>
    <w:p w14:paraId="79E00206" w14:textId="77777777" w:rsidR="007B0278" w:rsidRPr="007B0278" w:rsidRDefault="007B0278" w:rsidP="007B0278">
      <w:pPr>
        <w:ind w:left="284" w:hanging="284"/>
        <w:jc w:val="both"/>
        <w:rPr>
          <w:rFonts w:ascii="Garamond" w:hAnsi="Garamond"/>
          <w:sz w:val="20"/>
          <w:szCs w:val="20"/>
          <w:lang w:val="id-ID"/>
        </w:rPr>
      </w:pPr>
      <w:r w:rsidRPr="007B0278">
        <w:rPr>
          <w:rFonts w:ascii="Garamond" w:hAnsi="Garamond"/>
          <w:sz w:val="20"/>
          <w:szCs w:val="20"/>
          <w:lang w:val="id-ID"/>
        </w:rPr>
        <w:t xml:space="preserve">Yuliawati, D. (2022). Urgensi integrasi prinsip </w:t>
      </w:r>
      <w:r w:rsidRPr="007B0278">
        <w:rPr>
          <w:rFonts w:ascii="Garamond" w:hAnsi="Garamond"/>
          <w:i/>
          <w:iCs/>
          <w:sz w:val="20"/>
          <w:szCs w:val="20"/>
          <w:lang w:val="id-ID"/>
        </w:rPr>
        <w:t xml:space="preserve">in </w:t>
      </w:r>
      <w:proofErr w:type="spellStart"/>
      <w:r w:rsidRPr="007B0278">
        <w:rPr>
          <w:rFonts w:ascii="Garamond" w:hAnsi="Garamond"/>
          <w:i/>
          <w:iCs/>
          <w:sz w:val="20"/>
          <w:szCs w:val="20"/>
          <w:lang w:val="id-ID"/>
        </w:rPr>
        <w:t>dubio</w:t>
      </w:r>
      <w:proofErr w:type="spellEnd"/>
      <w:r w:rsidRPr="007B0278">
        <w:rPr>
          <w:rFonts w:ascii="Garamond" w:hAnsi="Garamond"/>
          <w:i/>
          <w:iCs/>
          <w:sz w:val="20"/>
          <w:szCs w:val="20"/>
          <w:lang w:val="id-ID"/>
        </w:rPr>
        <w:t xml:space="preserve"> pro natura</w:t>
      </w:r>
      <w:r w:rsidRPr="007B0278">
        <w:rPr>
          <w:rFonts w:ascii="Garamond" w:hAnsi="Garamond"/>
          <w:sz w:val="20"/>
          <w:szCs w:val="20"/>
          <w:lang w:val="id-ID"/>
        </w:rPr>
        <w:t xml:space="preserve"> dalam hukum lingkungan Indonesia. </w:t>
      </w:r>
      <w:r w:rsidRPr="007B0278">
        <w:rPr>
          <w:rFonts w:ascii="Garamond" w:hAnsi="Garamond"/>
          <w:i/>
          <w:iCs/>
          <w:sz w:val="20"/>
          <w:szCs w:val="20"/>
          <w:lang w:val="id-ID"/>
        </w:rPr>
        <w:t>Jurnal Hukum Alam Lestari</w:t>
      </w:r>
      <w:r w:rsidRPr="007B0278">
        <w:rPr>
          <w:rFonts w:ascii="Garamond" w:hAnsi="Garamond"/>
          <w:sz w:val="20"/>
          <w:szCs w:val="20"/>
          <w:lang w:val="id-ID"/>
        </w:rPr>
        <w:t xml:space="preserve">, </w:t>
      </w:r>
      <w:r w:rsidRPr="007B0278">
        <w:rPr>
          <w:rFonts w:ascii="Garamond" w:hAnsi="Garamond"/>
          <w:i/>
          <w:iCs/>
          <w:sz w:val="20"/>
          <w:szCs w:val="20"/>
          <w:lang w:val="id-ID"/>
        </w:rPr>
        <w:t>6</w:t>
      </w:r>
      <w:r w:rsidRPr="007B0278">
        <w:rPr>
          <w:rFonts w:ascii="Garamond" w:hAnsi="Garamond"/>
          <w:sz w:val="20"/>
          <w:szCs w:val="20"/>
          <w:lang w:val="id-ID"/>
        </w:rPr>
        <w:t xml:space="preserve">(2), 103–120. </w:t>
      </w:r>
      <w:hyperlink r:id="rId34" w:tgtFrame="_new" w:history="1">
        <w:r w:rsidRPr="007B0278">
          <w:rPr>
            <w:rStyle w:val="Hyperlink"/>
            <w:rFonts w:ascii="Garamond" w:hAnsi="Garamond"/>
            <w:sz w:val="20"/>
            <w:szCs w:val="20"/>
            <w:lang w:val="id-ID"/>
          </w:rPr>
          <w:t>https://doi.org/10.26740/jhal.v6i2.5113</w:t>
        </w:r>
      </w:hyperlink>
    </w:p>
    <w:p w14:paraId="21BA937F" w14:textId="77777777" w:rsidR="007B0278" w:rsidRPr="007B0278" w:rsidRDefault="007B0278" w:rsidP="007B0278">
      <w:pPr>
        <w:ind w:left="284" w:hanging="284"/>
        <w:jc w:val="both"/>
        <w:rPr>
          <w:rFonts w:ascii="Garamond" w:hAnsi="Garamond"/>
          <w:sz w:val="20"/>
          <w:szCs w:val="20"/>
          <w:lang w:val="id-ID"/>
        </w:rPr>
      </w:pPr>
      <w:proofErr w:type="spellStart"/>
      <w:r w:rsidRPr="007B0278">
        <w:rPr>
          <w:rFonts w:ascii="Garamond" w:hAnsi="Garamond"/>
          <w:sz w:val="20"/>
          <w:szCs w:val="20"/>
          <w:lang w:val="id-ID"/>
        </w:rPr>
        <w:t>Westra</w:t>
      </w:r>
      <w:proofErr w:type="spellEnd"/>
      <w:r w:rsidRPr="007B0278">
        <w:rPr>
          <w:rFonts w:ascii="Garamond" w:hAnsi="Garamond"/>
          <w:sz w:val="20"/>
          <w:szCs w:val="20"/>
          <w:lang w:val="id-ID"/>
        </w:rPr>
        <w:t xml:space="preserve">, L. (2012). </w:t>
      </w:r>
      <w:proofErr w:type="spellStart"/>
      <w:r w:rsidRPr="007B0278">
        <w:rPr>
          <w:rFonts w:ascii="Garamond" w:hAnsi="Garamond"/>
          <w:i/>
          <w:iCs/>
          <w:sz w:val="20"/>
          <w:szCs w:val="20"/>
          <w:lang w:val="id-ID"/>
        </w:rPr>
        <w:t>Environmental</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justice</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and</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the</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rights</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of</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ecological</w:t>
      </w:r>
      <w:proofErr w:type="spellEnd"/>
      <w:r w:rsidRPr="007B0278">
        <w:rPr>
          <w:rFonts w:ascii="Garamond" w:hAnsi="Garamond"/>
          <w:i/>
          <w:iCs/>
          <w:sz w:val="20"/>
          <w:szCs w:val="20"/>
          <w:lang w:val="id-ID"/>
        </w:rPr>
        <w:t xml:space="preserve"> </w:t>
      </w:r>
      <w:proofErr w:type="spellStart"/>
      <w:r w:rsidRPr="007B0278">
        <w:rPr>
          <w:rFonts w:ascii="Garamond" w:hAnsi="Garamond"/>
          <w:i/>
          <w:iCs/>
          <w:sz w:val="20"/>
          <w:szCs w:val="20"/>
          <w:lang w:val="id-ID"/>
        </w:rPr>
        <w:t>refugees</w:t>
      </w:r>
      <w:proofErr w:type="spellEnd"/>
      <w:r w:rsidRPr="007B0278">
        <w:rPr>
          <w:rFonts w:ascii="Garamond" w:hAnsi="Garamond"/>
          <w:sz w:val="20"/>
          <w:szCs w:val="20"/>
          <w:lang w:val="id-ID"/>
        </w:rPr>
        <w:t xml:space="preserve">. London: </w:t>
      </w:r>
      <w:proofErr w:type="spellStart"/>
      <w:r w:rsidRPr="007B0278">
        <w:rPr>
          <w:rFonts w:ascii="Garamond" w:hAnsi="Garamond"/>
          <w:sz w:val="20"/>
          <w:szCs w:val="20"/>
          <w:lang w:val="id-ID"/>
        </w:rPr>
        <w:t>Earthscan</w:t>
      </w:r>
      <w:proofErr w:type="spellEnd"/>
      <w:r w:rsidRPr="007B0278">
        <w:rPr>
          <w:rFonts w:ascii="Garamond" w:hAnsi="Garamond"/>
          <w:sz w:val="20"/>
          <w:szCs w:val="20"/>
          <w:lang w:val="id-ID"/>
        </w:rPr>
        <w:t>.</w:t>
      </w:r>
    </w:p>
    <w:p w14:paraId="6D590C8C" w14:textId="77777777" w:rsidR="007B0278" w:rsidRPr="007B0278" w:rsidRDefault="007B0278" w:rsidP="007B0278">
      <w:pPr>
        <w:jc w:val="both"/>
        <w:rPr>
          <w:rFonts w:ascii="Garamond" w:hAnsi="Garamond"/>
          <w:b/>
          <w:bCs/>
          <w:sz w:val="20"/>
          <w:szCs w:val="20"/>
        </w:rPr>
      </w:pPr>
    </w:p>
    <w:p w14:paraId="407DE7A0" w14:textId="77777777" w:rsidR="00876DB9" w:rsidRPr="005F4EC6" w:rsidRDefault="00876DB9" w:rsidP="005F4EC6">
      <w:pPr>
        <w:jc w:val="both"/>
        <w:rPr>
          <w:rFonts w:ascii="Garamond" w:hAnsi="Garamond"/>
          <w:b/>
          <w:sz w:val="20"/>
          <w:szCs w:val="20"/>
          <w:lang w:val="id-ID"/>
        </w:rPr>
      </w:pPr>
    </w:p>
    <w:p w14:paraId="392BBBE5" w14:textId="77777777" w:rsidR="00876DB9" w:rsidRPr="005F4EC6" w:rsidRDefault="00876DB9" w:rsidP="005F4EC6">
      <w:pPr>
        <w:ind w:left="720"/>
        <w:jc w:val="both"/>
        <w:rPr>
          <w:rFonts w:ascii="Garamond" w:hAnsi="Garamond"/>
          <w:b/>
          <w:sz w:val="22"/>
          <w:szCs w:val="22"/>
          <w:lang w:val="id-ID"/>
        </w:rPr>
      </w:pPr>
    </w:p>
    <w:sectPr w:rsidR="00876DB9" w:rsidRPr="005F4EC6">
      <w:footnotePr>
        <w:pos w:val="beneathText"/>
      </w:footnotePr>
      <w:type w:val="continuous"/>
      <w:pgSz w:w="11905" w:h="16837"/>
      <w:pgMar w:top="1701" w:right="1418" w:bottom="1418" w:left="1418"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076F3" w14:textId="77777777" w:rsidR="0076211E" w:rsidRDefault="0076211E">
      <w:pPr>
        <w:spacing w:after="0" w:line="240" w:lineRule="auto"/>
      </w:pPr>
      <w:r>
        <w:separator/>
      </w:r>
    </w:p>
  </w:endnote>
  <w:endnote w:type="continuationSeparator" w:id="0">
    <w:p w14:paraId="2E7ACA97" w14:textId="77777777" w:rsidR="0076211E" w:rsidRDefault="00762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AMECN+TimesNewRoman">
    <w:altName w:val="Times New Roman"/>
    <w:charset w:val="00"/>
    <w:family w:val="roman"/>
    <w:pitch w:val="default"/>
  </w:font>
  <w:font w:name="HAMEHF+TimesNew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F218" w14:textId="77777777" w:rsidR="0076211E" w:rsidRDefault="0076211E">
      <w:pPr>
        <w:spacing w:after="0" w:line="240" w:lineRule="auto"/>
      </w:pPr>
      <w:r>
        <w:separator/>
      </w:r>
    </w:p>
  </w:footnote>
  <w:footnote w:type="continuationSeparator" w:id="0">
    <w:p w14:paraId="4FC145F2" w14:textId="77777777" w:rsidR="0076211E" w:rsidRDefault="00762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0EAC" w14:textId="7CAB9F0D" w:rsidR="00876DB9" w:rsidRDefault="005172BA" w:rsidP="005172BA">
    <w:pPr>
      <w:pStyle w:val="Header"/>
      <w:tabs>
        <w:tab w:val="clear" w:pos="4513"/>
        <w:tab w:val="clear" w:pos="9026"/>
      </w:tabs>
    </w:pPr>
    <w:r>
      <w:rPr>
        <w:noProof/>
      </w:rPr>
      <w:drawing>
        <wp:anchor distT="0" distB="0" distL="114300" distR="114300" simplePos="0" relativeHeight="251660288" behindDoc="1" locked="0" layoutInCell="1" allowOverlap="1" wp14:anchorId="01A69E14" wp14:editId="0DC85902">
          <wp:simplePos x="0" y="0"/>
          <wp:positionH relativeFrom="page">
            <wp:posOffset>5019269</wp:posOffset>
          </wp:positionH>
          <wp:positionV relativeFrom="paragraph">
            <wp:posOffset>-305663</wp:posOffset>
          </wp:positionV>
          <wp:extent cx="2344522" cy="789089"/>
          <wp:effectExtent l="0" t="0" r="0" b="0"/>
          <wp:wrapNone/>
          <wp:docPr id="7875525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17931" name="Picture 217317931"/>
                  <pic:cNvPicPr/>
                </pic:nvPicPr>
                <pic:blipFill>
                  <a:blip r:embed="rId1">
                    <a:extLst>
                      <a:ext uri="{28A0092B-C50C-407E-A947-70E740481C1C}">
                        <a14:useLocalDpi xmlns:a14="http://schemas.microsoft.com/office/drawing/2010/main" val="0"/>
                      </a:ext>
                    </a:extLst>
                  </a:blip>
                  <a:stretch>
                    <a:fillRect/>
                  </a:stretch>
                </pic:blipFill>
                <pic:spPr>
                  <a:xfrm>
                    <a:off x="0" y="0"/>
                    <a:ext cx="2344522" cy="789089"/>
                  </a:xfrm>
                  <a:prstGeom prst="rect">
                    <a:avLst/>
                  </a:prstGeom>
                </pic:spPr>
              </pic:pic>
            </a:graphicData>
          </a:graphic>
          <wp14:sizeRelH relativeFrom="margin">
            <wp14:pctWidth>0</wp14:pctWidth>
          </wp14:sizeRelH>
          <wp14:sizeRelV relativeFrom="margin">
            <wp14:pctHeight>0</wp14:pctHeight>
          </wp14:sizeRelV>
        </wp:anchor>
      </w:drawing>
    </w:r>
    <w:r w:rsidR="00C560D7">
      <w:t xml:space="preserve">    </w:t>
    </w:r>
    <w:proofErr w:type="spellStart"/>
    <w:r w:rsidR="00BD41F7">
      <w:rPr>
        <w:rFonts w:ascii="Cambria" w:hAnsi="Cambria"/>
        <w:sz w:val="18"/>
        <w:szCs w:val="18"/>
      </w:rPr>
      <w:t>Jurnal</w:t>
    </w:r>
    <w:proofErr w:type="spellEnd"/>
    <w:r w:rsidR="00BD41F7">
      <w:rPr>
        <w:rFonts w:ascii="Cambria" w:hAnsi="Cambria"/>
        <w:sz w:val="18"/>
        <w:szCs w:val="18"/>
      </w:rPr>
      <w:t xml:space="preserve"> Nexus   01(2025)</w:t>
    </w:r>
    <w:r w:rsidR="00BD41F7">
      <w:rPr>
        <w:rFonts w:ascii="Cambria" w:hAnsi="Cambria"/>
        <w:sz w:val="18"/>
        <w:szCs w:val="18"/>
      </w:rPr>
      <w:tab/>
    </w:r>
    <w:r w:rsidR="00BD41F7">
      <w:rPr>
        <w:rFonts w:ascii="Cambria" w:hAnsi="Cambria"/>
        <w:color w:val="000000"/>
        <w:sz w:val="18"/>
        <w:szCs w:val="18"/>
      </w:rPr>
      <w:t xml:space="preserve">    On-</w:t>
    </w:r>
    <w:proofErr w:type="gramStart"/>
    <w:r w:rsidR="00BD41F7">
      <w:rPr>
        <w:rFonts w:ascii="Cambria" w:hAnsi="Cambria"/>
        <w:color w:val="000000"/>
        <w:sz w:val="18"/>
        <w:szCs w:val="18"/>
      </w:rPr>
      <w:t>line :</w:t>
    </w:r>
    <w:proofErr w:type="gramEnd"/>
    <w:r w:rsidR="00BD41F7">
      <w:rPr>
        <w:rFonts w:ascii="Cambria" w:hAnsi="Cambria"/>
        <w:color w:val="000000"/>
        <w:sz w:val="18"/>
        <w:szCs w:val="18"/>
      </w:rPr>
      <w:t xml:space="preserve"> </w:t>
    </w:r>
    <w:hyperlink r:id="rId2" w:history="1">
      <w:r w:rsidR="00BD41F7" w:rsidRPr="00BD41F7">
        <w:rPr>
          <w:rStyle w:val="Hyperlink"/>
          <w:color w:val="auto"/>
          <w:sz w:val="20"/>
          <w:szCs w:val="20"/>
        </w:rPr>
        <w:t>https://ejournal.uby.ac.id/index.php/ny</w:t>
      </w:r>
    </w:hyperlink>
    <w:r w:rsidR="00BD41F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B41D" w14:textId="52914C97" w:rsidR="00876DB9" w:rsidRDefault="00127C04" w:rsidP="00127C04">
    <w:pPr>
      <w:pStyle w:val="Header"/>
      <w:tabs>
        <w:tab w:val="clear" w:pos="4513"/>
        <w:tab w:val="clear" w:pos="9026"/>
      </w:tabs>
    </w:pPr>
    <w:r>
      <w:rPr>
        <w:noProof/>
      </w:rPr>
      <w:drawing>
        <wp:anchor distT="0" distB="0" distL="114300" distR="114300" simplePos="0" relativeHeight="251658240" behindDoc="1" locked="0" layoutInCell="1" allowOverlap="1" wp14:anchorId="264FA0F1" wp14:editId="63F70C50">
          <wp:simplePos x="0" y="0"/>
          <wp:positionH relativeFrom="page">
            <wp:posOffset>4908220</wp:posOffset>
          </wp:positionH>
          <wp:positionV relativeFrom="paragraph">
            <wp:posOffset>-299872</wp:posOffset>
          </wp:positionV>
          <wp:extent cx="2344522" cy="789089"/>
          <wp:effectExtent l="0" t="0" r="0" b="0"/>
          <wp:wrapNone/>
          <wp:docPr id="217317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17931" name="Picture 217317931"/>
                  <pic:cNvPicPr/>
                </pic:nvPicPr>
                <pic:blipFill>
                  <a:blip r:embed="rId1">
                    <a:extLst>
                      <a:ext uri="{28A0092B-C50C-407E-A947-70E740481C1C}">
                        <a14:useLocalDpi xmlns:a14="http://schemas.microsoft.com/office/drawing/2010/main" val="0"/>
                      </a:ext>
                    </a:extLst>
                  </a:blip>
                  <a:stretch>
                    <a:fillRect/>
                  </a:stretch>
                </pic:blipFill>
                <pic:spPr>
                  <a:xfrm>
                    <a:off x="0" y="0"/>
                    <a:ext cx="2344522" cy="789089"/>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C560D7">
      <w:rPr>
        <w:rFonts w:ascii="Cambria" w:hAnsi="Cambria"/>
        <w:sz w:val="18"/>
        <w:szCs w:val="18"/>
      </w:rPr>
      <w:t>Jurnal</w:t>
    </w:r>
    <w:proofErr w:type="spellEnd"/>
    <w:r w:rsidR="00C560D7">
      <w:rPr>
        <w:rFonts w:ascii="Cambria" w:hAnsi="Cambria"/>
        <w:sz w:val="18"/>
        <w:szCs w:val="18"/>
      </w:rPr>
      <w:t xml:space="preserve"> </w:t>
    </w:r>
    <w:r w:rsidR="00BD41F7">
      <w:rPr>
        <w:rFonts w:ascii="Cambria" w:hAnsi="Cambria"/>
        <w:sz w:val="18"/>
        <w:szCs w:val="18"/>
      </w:rPr>
      <w:t>Nexus</w:t>
    </w:r>
    <w:r w:rsidR="00B716DA">
      <w:rPr>
        <w:rFonts w:ascii="Cambria" w:hAnsi="Cambria"/>
        <w:sz w:val="18"/>
        <w:szCs w:val="18"/>
      </w:rPr>
      <w:t xml:space="preserve">   01(202</w:t>
    </w:r>
    <w:r w:rsidR="00BD41F7">
      <w:rPr>
        <w:rFonts w:ascii="Cambria" w:hAnsi="Cambria"/>
        <w:sz w:val="18"/>
        <w:szCs w:val="18"/>
      </w:rPr>
      <w:t>5</w:t>
    </w:r>
    <w:r w:rsidR="00C560D7">
      <w:rPr>
        <w:rFonts w:ascii="Cambria" w:hAnsi="Cambria"/>
        <w:sz w:val="18"/>
        <w:szCs w:val="18"/>
      </w:rPr>
      <w:t>)</w:t>
    </w:r>
    <w:r w:rsidR="00C560D7">
      <w:rPr>
        <w:rFonts w:ascii="Cambria" w:hAnsi="Cambria"/>
        <w:sz w:val="18"/>
        <w:szCs w:val="18"/>
      </w:rPr>
      <w:tab/>
    </w:r>
    <w:r w:rsidR="00C560D7">
      <w:rPr>
        <w:rFonts w:ascii="Cambria" w:hAnsi="Cambria"/>
        <w:color w:val="000000"/>
        <w:sz w:val="18"/>
        <w:szCs w:val="18"/>
      </w:rPr>
      <w:t xml:space="preserve">    On-</w:t>
    </w:r>
    <w:proofErr w:type="gramStart"/>
    <w:r w:rsidR="00C560D7">
      <w:rPr>
        <w:rFonts w:ascii="Cambria" w:hAnsi="Cambria"/>
        <w:color w:val="000000"/>
        <w:sz w:val="18"/>
        <w:szCs w:val="18"/>
      </w:rPr>
      <w:t>line :</w:t>
    </w:r>
    <w:proofErr w:type="gramEnd"/>
    <w:r w:rsidR="00C560D7">
      <w:rPr>
        <w:rFonts w:ascii="Cambria" w:hAnsi="Cambria"/>
        <w:color w:val="000000"/>
        <w:sz w:val="18"/>
        <w:szCs w:val="18"/>
      </w:rPr>
      <w:t xml:space="preserve"> </w:t>
    </w:r>
    <w:hyperlink r:id="rId2" w:history="1">
      <w:r w:rsidR="00BD41F7" w:rsidRPr="00BD41F7">
        <w:rPr>
          <w:rStyle w:val="Hyperlink"/>
          <w:color w:val="auto"/>
          <w:sz w:val="20"/>
          <w:szCs w:val="20"/>
        </w:rPr>
        <w:t>https://ejournal.uby.ac.id/index.php/ny</w:t>
      </w:r>
    </w:hyperlink>
    <w:r w:rsidR="00BD41F7">
      <w:t xml:space="preserve">  </w:t>
    </w:r>
    <w:r w:rsidR="00694A5B">
      <w:rPr>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drawingGridHorizontalSpacing w:val="120"/>
  <w:drawingGridVerticalSpacing w:val="0"/>
  <w:displayHorizontalDrawingGridEvery w:val="0"/>
  <w:displayVerticalDrawingGridEvery w:val="0"/>
  <w:characterSpacingControl w:val="doNotCompress"/>
  <w:savePreviewPicture/>
  <w:hdrShapeDefaults>
    <o:shapedefaults v:ext="edit" spidmax="2050" fillcolor="white">
      <v:fill color="white"/>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E0D"/>
    <w:rsid w:val="000151DC"/>
    <w:rsid w:val="00015DB2"/>
    <w:rsid w:val="00023603"/>
    <w:rsid w:val="0002378E"/>
    <w:rsid w:val="0002737D"/>
    <w:rsid w:val="00033502"/>
    <w:rsid w:val="0005136F"/>
    <w:rsid w:val="00051ACC"/>
    <w:rsid w:val="000709E5"/>
    <w:rsid w:val="00072AC1"/>
    <w:rsid w:val="00082060"/>
    <w:rsid w:val="00092AF3"/>
    <w:rsid w:val="00094C95"/>
    <w:rsid w:val="00097876"/>
    <w:rsid w:val="000A1758"/>
    <w:rsid w:val="000B2BA8"/>
    <w:rsid w:val="000B389A"/>
    <w:rsid w:val="000B6BAD"/>
    <w:rsid w:val="000C448C"/>
    <w:rsid w:val="000C693C"/>
    <w:rsid w:val="000D603A"/>
    <w:rsid w:val="000E0895"/>
    <w:rsid w:val="000E43BD"/>
    <w:rsid w:val="000F55B8"/>
    <w:rsid w:val="000F5B68"/>
    <w:rsid w:val="000F5D55"/>
    <w:rsid w:val="00121771"/>
    <w:rsid w:val="00124B81"/>
    <w:rsid w:val="00127C04"/>
    <w:rsid w:val="00135520"/>
    <w:rsid w:val="0013784E"/>
    <w:rsid w:val="00151260"/>
    <w:rsid w:val="0015583E"/>
    <w:rsid w:val="0018356A"/>
    <w:rsid w:val="0019048B"/>
    <w:rsid w:val="00192E61"/>
    <w:rsid w:val="00197EF7"/>
    <w:rsid w:val="001A0E7D"/>
    <w:rsid w:val="001C4561"/>
    <w:rsid w:val="001C475A"/>
    <w:rsid w:val="001C5195"/>
    <w:rsid w:val="001C5B0C"/>
    <w:rsid w:val="001F13E5"/>
    <w:rsid w:val="001F2183"/>
    <w:rsid w:val="001F57F3"/>
    <w:rsid w:val="001F770F"/>
    <w:rsid w:val="00226C66"/>
    <w:rsid w:val="002333EE"/>
    <w:rsid w:val="00244477"/>
    <w:rsid w:val="00245765"/>
    <w:rsid w:val="002505A7"/>
    <w:rsid w:val="00253C87"/>
    <w:rsid w:val="00273AB8"/>
    <w:rsid w:val="00280D7B"/>
    <w:rsid w:val="00291F4E"/>
    <w:rsid w:val="002A3D75"/>
    <w:rsid w:val="002A7F5F"/>
    <w:rsid w:val="002B16BC"/>
    <w:rsid w:val="002C2875"/>
    <w:rsid w:val="002D5B6C"/>
    <w:rsid w:val="002F0DA5"/>
    <w:rsid w:val="002F4A50"/>
    <w:rsid w:val="003070EC"/>
    <w:rsid w:val="003429C1"/>
    <w:rsid w:val="00350DF2"/>
    <w:rsid w:val="00353FC7"/>
    <w:rsid w:val="00354E78"/>
    <w:rsid w:val="00370242"/>
    <w:rsid w:val="003833CA"/>
    <w:rsid w:val="00394299"/>
    <w:rsid w:val="00394F7A"/>
    <w:rsid w:val="00397CE7"/>
    <w:rsid w:val="003A7A82"/>
    <w:rsid w:val="003B3BA1"/>
    <w:rsid w:val="003C2834"/>
    <w:rsid w:val="003D4E3D"/>
    <w:rsid w:val="003D6C7F"/>
    <w:rsid w:val="003E78FB"/>
    <w:rsid w:val="003F0AB8"/>
    <w:rsid w:val="003F653B"/>
    <w:rsid w:val="00412EC2"/>
    <w:rsid w:val="00426310"/>
    <w:rsid w:val="00430700"/>
    <w:rsid w:val="00440FD7"/>
    <w:rsid w:val="00441C0F"/>
    <w:rsid w:val="00441C74"/>
    <w:rsid w:val="00441F95"/>
    <w:rsid w:val="00450469"/>
    <w:rsid w:val="00462508"/>
    <w:rsid w:val="00484694"/>
    <w:rsid w:val="00485CEC"/>
    <w:rsid w:val="004879D2"/>
    <w:rsid w:val="004A7031"/>
    <w:rsid w:val="004D6749"/>
    <w:rsid w:val="004E0E6F"/>
    <w:rsid w:val="004E39BE"/>
    <w:rsid w:val="004F1696"/>
    <w:rsid w:val="004F5791"/>
    <w:rsid w:val="0050678C"/>
    <w:rsid w:val="005074BE"/>
    <w:rsid w:val="00507636"/>
    <w:rsid w:val="005172BA"/>
    <w:rsid w:val="005269F3"/>
    <w:rsid w:val="00531839"/>
    <w:rsid w:val="005374DA"/>
    <w:rsid w:val="00543912"/>
    <w:rsid w:val="0056012F"/>
    <w:rsid w:val="00561109"/>
    <w:rsid w:val="00561EF4"/>
    <w:rsid w:val="005716C4"/>
    <w:rsid w:val="00581744"/>
    <w:rsid w:val="005A15E0"/>
    <w:rsid w:val="005A2C8C"/>
    <w:rsid w:val="005C0085"/>
    <w:rsid w:val="005C313A"/>
    <w:rsid w:val="005E154F"/>
    <w:rsid w:val="005F4EC6"/>
    <w:rsid w:val="006069E5"/>
    <w:rsid w:val="00615E0F"/>
    <w:rsid w:val="0065116C"/>
    <w:rsid w:val="0066400A"/>
    <w:rsid w:val="00674D15"/>
    <w:rsid w:val="00680A58"/>
    <w:rsid w:val="00693104"/>
    <w:rsid w:val="00694A5B"/>
    <w:rsid w:val="006B0377"/>
    <w:rsid w:val="006B74EA"/>
    <w:rsid w:val="006C321D"/>
    <w:rsid w:val="006C358F"/>
    <w:rsid w:val="006E165A"/>
    <w:rsid w:val="006E1BC7"/>
    <w:rsid w:val="00700A01"/>
    <w:rsid w:val="00704BF9"/>
    <w:rsid w:val="00704C31"/>
    <w:rsid w:val="00714443"/>
    <w:rsid w:val="0074452A"/>
    <w:rsid w:val="00744A1F"/>
    <w:rsid w:val="00745D76"/>
    <w:rsid w:val="007473C7"/>
    <w:rsid w:val="007503BB"/>
    <w:rsid w:val="00751771"/>
    <w:rsid w:val="0076211E"/>
    <w:rsid w:val="00762761"/>
    <w:rsid w:val="007709E2"/>
    <w:rsid w:val="007840C3"/>
    <w:rsid w:val="00792C87"/>
    <w:rsid w:val="007A1F93"/>
    <w:rsid w:val="007A6624"/>
    <w:rsid w:val="007A6B71"/>
    <w:rsid w:val="007B0278"/>
    <w:rsid w:val="007B0B47"/>
    <w:rsid w:val="007B0FDC"/>
    <w:rsid w:val="007B76F0"/>
    <w:rsid w:val="007C23A4"/>
    <w:rsid w:val="007E14BA"/>
    <w:rsid w:val="007F4331"/>
    <w:rsid w:val="007F60EF"/>
    <w:rsid w:val="00806E05"/>
    <w:rsid w:val="00813496"/>
    <w:rsid w:val="008246C5"/>
    <w:rsid w:val="008372E5"/>
    <w:rsid w:val="00850C56"/>
    <w:rsid w:val="00855415"/>
    <w:rsid w:val="008608EE"/>
    <w:rsid w:val="00863886"/>
    <w:rsid w:val="00876DB9"/>
    <w:rsid w:val="00880296"/>
    <w:rsid w:val="0088097C"/>
    <w:rsid w:val="00880C9A"/>
    <w:rsid w:val="008960D3"/>
    <w:rsid w:val="008B2AFC"/>
    <w:rsid w:val="008B48BE"/>
    <w:rsid w:val="008D0236"/>
    <w:rsid w:val="008D5FC9"/>
    <w:rsid w:val="008D7B80"/>
    <w:rsid w:val="008E3382"/>
    <w:rsid w:val="008E5A64"/>
    <w:rsid w:val="008E5E38"/>
    <w:rsid w:val="008F3351"/>
    <w:rsid w:val="008F674D"/>
    <w:rsid w:val="009035B2"/>
    <w:rsid w:val="00910F6C"/>
    <w:rsid w:val="00916B00"/>
    <w:rsid w:val="00922853"/>
    <w:rsid w:val="00925910"/>
    <w:rsid w:val="00926961"/>
    <w:rsid w:val="009306DD"/>
    <w:rsid w:val="00933B74"/>
    <w:rsid w:val="00936735"/>
    <w:rsid w:val="00943898"/>
    <w:rsid w:val="00944405"/>
    <w:rsid w:val="00957E53"/>
    <w:rsid w:val="00960868"/>
    <w:rsid w:val="00972AA3"/>
    <w:rsid w:val="009743CC"/>
    <w:rsid w:val="00975546"/>
    <w:rsid w:val="00975B71"/>
    <w:rsid w:val="009811EB"/>
    <w:rsid w:val="009919E8"/>
    <w:rsid w:val="0099678D"/>
    <w:rsid w:val="009A015B"/>
    <w:rsid w:val="009D07F5"/>
    <w:rsid w:val="009E1817"/>
    <w:rsid w:val="009F5B0C"/>
    <w:rsid w:val="009F6FDA"/>
    <w:rsid w:val="00A1253F"/>
    <w:rsid w:val="00A173B7"/>
    <w:rsid w:val="00A55A51"/>
    <w:rsid w:val="00A562E8"/>
    <w:rsid w:val="00A6431C"/>
    <w:rsid w:val="00A66ADC"/>
    <w:rsid w:val="00A72A15"/>
    <w:rsid w:val="00A74698"/>
    <w:rsid w:val="00A86325"/>
    <w:rsid w:val="00AA084F"/>
    <w:rsid w:val="00AA2F26"/>
    <w:rsid w:val="00AA756F"/>
    <w:rsid w:val="00AB15A5"/>
    <w:rsid w:val="00AB5849"/>
    <w:rsid w:val="00AC012B"/>
    <w:rsid w:val="00AD73F8"/>
    <w:rsid w:val="00AE208D"/>
    <w:rsid w:val="00AE2858"/>
    <w:rsid w:val="00AE6C62"/>
    <w:rsid w:val="00AF774F"/>
    <w:rsid w:val="00B00386"/>
    <w:rsid w:val="00B1752F"/>
    <w:rsid w:val="00B20DBC"/>
    <w:rsid w:val="00B2436F"/>
    <w:rsid w:val="00B31357"/>
    <w:rsid w:val="00B346B4"/>
    <w:rsid w:val="00B42ED7"/>
    <w:rsid w:val="00B46234"/>
    <w:rsid w:val="00B5346D"/>
    <w:rsid w:val="00B66F11"/>
    <w:rsid w:val="00B716DA"/>
    <w:rsid w:val="00B776D6"/>
    <w:rsid w:val="00B812CF"/>
    <w:rsid w:val="00B96AC8"/>
    <w:rsid w:val="00BA0DF0"/>
    <w:rsid w:val="00BB3503"/>
    <w:rsid w:val="00BB3E5A"/>
    <w:rsid w:val="00BD0B8B"/>
    <w:rsid w:val="00BD41F7"/>
    <w:rsid w:val="00BD4D72"/>
    <w:rsid w:val="00BD5AA2"/>
    <w:rsid w:val="00BF4AE7"/>
    <w:rsid w:val="00C00236"/>
    <w:rsid w:val="00C17D8C"/>
    <w:rsid w:val="00C26048"/>
    <w:rsid w:val="00C365EF"/>
    <w:rsid w:val="00C453A5"/>
    <w:rsid w:val="00C46E47"/>
    <w:rsid w:val="00C52B50"/>
    <w:rsid w:val="00C538A4"/>
    <w:rsid w:val="00C560D7"/>
    <w:rsid w:val="00C7739C"/>
    <w:rsid w:val="00C829BE"/>
    <w:rsid w:val="00C90856"/>
    <w:rsid w:val="00CC4EAD"/>
    <w:rsid w:val="00CC7464"/>
    <w:rsid w:val="00CC771A"/>
    <w:rsid w:val="00CC7831"/>
    <w:rsid w:val="00CD7FAC"/>
    <w:rsid w:val="00CE4416"/>
    <w:rsid w:val="00CF2E02"/>
    <w:rsid w:val="00CF5285"/>
    <w:rsid w:val="00D17CFB"/>
    <w:rsid w:val="00D262D9"/>
    <w:rsid w:val="00D373AE"/>
    <w:rsid w:val="00D408EF"/>
    <w:rsid w:val="00D41AE6"/>
    <w:rsid w:val="00D55B36"/>
    <w:rsid w:val="00D67141"/>
    <w:rsid w:val="00D8714C"/>
    <w:rsid w:val="00D9399F"/>
    <w:rsid w:val="00D96111"/>
    <w:rsid w:val="00DB1351"/>
    <w:rsid w:val="00DB182D"/>
    <w:rsid w:val="00DB3A06"/>
    <w:rsid w:val="00DD0A1E"/>
    <w:rsid w:val="00DE6B8A"/>
    <w:rsid w:val="00DE740A"/>
    <w:rsid w:val="00E01471"/>
    <w:rsid w:val="00E24CA1"/>
    <w:rsid w:val="00E26B6E"/>
    <w:rsid w:val="00E27681"/>
    <w:rsid w:val="00E516AF"/>
    <w:rsid w:val="00E61E4C"/>
    <w:rsid w:val="00E63E36"/>
    <w:rsid w:val="00E6492B"/>
    <w:rsid w:val="00E66949"/>
    <w:rsid w:val="00E84456"/>
    <w:rsid w:val="00E84D25"/>
    <w:rsid w:val="00E97191"/>
    <w:rsid w:val="00EA1E0D"/>
    <w:rsid w:val="00EA42C1"/>
    <w:rsid w:val="00EA607B"/>
    <w:rsid w:val="00EA6099"/>
    <w:rsid w:val="00EB6882"/>
    <w:rsid w:val="00EB6B25"/>
    <w:rsid w:val="00EB7073"/>
    <w:rsid w:val="00F15BF7"/>
    <w:rsid w:val="00F173BC"/>
    <w:rsid w:val="00F20233"/>
    <w:rsid w:val="00F33840"/>
    <w:rsid w:val="00F465AB"/>
    <w:rsid w:val="00F533CD"/>
    <w:rsid w:val="00F53799"/>
    <w:rsid w:val="00F66EE1"/>
    <w:rsid w:val="00F71DE8"/>
    <w:rsid w:val="00F9284C"/>
    <w:rsid w:val="00FA5E2D"/>
    <w:rsid w:val="00FB76EF"/>
    <w:rsid w:val="00FC0661"/>
    <w:rsid w:val="00FC20B9"/>
    <w:rsid w:val="00FC344B"/>
    <w:rsid w:val="00FF36BE"/>
    <w:rsid w:val="00FF791A"/>
    <w:rsid w:val="2A915526"/>
    <w:rsid w:val="37C903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A4D7F96"/>
  <w15:docId w15:val="{FB190762-AB2E-4FAE-A4BB-0E7F9451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lsdException w:name="FollowedHyperlink" w:semiHidden="1"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Judul4">
    <w:name w:val="heading 4"/>
    <w:basedOn w:val="Normal"/>
    <w:next w:val="Normal"/>
    <w:link w:val="Judul4KAR"/>
    <w:qFormat/>
    <w:pPr>
      <w:keepNext/>
      <w:suppressAutoHyphens w:val="0"/>
      <w:spacing w:before="240" w:after="60"/>
      <w:outlineLvl w:val="3"/>
    </w:pPr>
    <w:rPr>
      <w:b/>
      <w:bCs/>
      <w:sz w:val="28"/>
      <w:szCs w:val="28"/>
      <w:lang w:eastAsia="en-US"/>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qFormat/>
    <w:rPr>
      <w:rFonts w:ascii="Segoe UI" w:hAnsi="Segoe UI"/>
      <w:sz w:val="18"/>
      <w:szCs w:val="18"/>
    </w:rPr>
  </w:style>
  <w:style w:type="paragraph" w:styleId="TeksIsi">
    <w:name w:val="Body Text"/>
    <w:basedOn w:val="Normal"/>
    <w:semiHidden/>
    <w:pPr>
      <w:spacing w:after="120"/>
    </w:pPr>
  </w:style>
  <w:style w:type="paragraph" w:styleId="IndenTeksIsi2">
    <w:name w:val="Body Text Indent 2"/>
    <w:basedOn w:val="Normal"/>
    <w:link w:val="IndenTeksIsi2KAR"/>
    <w:uiPriority w:val="99"/>
    <w:unhideWhenUsed/>
    <w:pPr>
      <w:spacing w:after="120" w:line="480" w:lineRule="auto"/>
      <w:ind w:left="283"/>
    </w:pPr>
  </w:style>
  <w:style w:type="paragraph" w:styleId="Keterangan">
    <w:name w:val="caption"/>
    <w:basedOn w:val="Normal"/>
    <w:next w:val="Normal"/>
    <w:qFormat/>
    <w:pPr>
      <w:suppressLineNumbers/>
      <w:spacing w:before="120" w:after="120"/>
    </w:pPr>
    <w:rPr>
      <w:rFonts w:cs="Tahoma"/>
      <w:i/>
      <w:iCs/>
    </w:rPr>
  </w:style>
  <w:style w:type="paragraph" w:styleId="Footer">
    <w:name w:val="footer"/>
    <w:basedOn w:val="Normal"/>
    <w:link w:val="FooterKAR"/>
    <w:uiPriority w:val="99"/>
    <w:unhideWhenUsed/>
    <w:pPr>
      <w:tabs>
        <w:tab w:val="center" w:pos="4513"/>
        <w:tab w:val="right" w:pos="9026"/>
      </w:tabs>
    </w:pPr>
  </w:style>
  <w:style w:type="paragraph" w:styleId="Header">
    <w:name w:val="header"/>
    <w:basedOn w:val="Normal"/>
    <w:link w:val="HeaderKAR"/>
    <w:uiPriority w:val="99"/>
    <w:unhideWhenUsed/>
    <w:pPr>
      <w:tabs>
        <w:tab w:val="center" w:pos="4513"/>
        <w:tab w:val="right" w:pos="9026"/>
      </w:tabs>
    </w:pPr>
  </w:style>
  <w:style w:type="paragraph" w:styleId="Daftar">
    <w:name w:val="List"/>
    <w:basedOn w:val="TeksIsi"/>
    <w:semiHidden/>
    <w:rPr>
      <w:rFonts w:cs="Tahoma"/>
    </w:rPr>
  </w:style>
  <w:style w:type="paragraph" w:styleId="NormalWeb">
    <w:name w:val="Normal (Web)"/>
    <w:basedOn w:val="Normal"/>
    <w:uiPriority w:val="99"/>
    <w:unhideWhenUsed/>
    <w:pPr>
      <w:suppressAutoHyphens w:val="0"/>
      <w:spacing w:before="100" w:beforeAutospacing="1" w:after="100" w:afterAutospacing="1"/>
    </w:pPr>
    <w:rPr>
      <w:rFonts w:eastAsiaTheme="minorEastAsia"/>
      <w:lang w:val="zh-CN" w:eastAsia="zh-CN"/>
    </w:rPr>
  </w:style>
  <w:style w:type="character" w:styleId="HiperlinkyangDiikuti">
    <w:name w:val="FollowedHyperlink"/>
    <w:semiHidden/>
    <w:rPr>
      <w:color w:val="800080"/>
      <w:u w:val="single"/>
    </w:rPr>
  </w:style>
  <w:style w:type="character" w:styleId="Hyperlink">
    <w:name w:val="Hyperlink"/>
    <w:uiPriority w:val="99"/>
    <w:unhideWhenUsed/>
    <w:rPr>
      <w:color w:val="0000FF"/>
      <w:u w:val="single"/>
    </w:rPr>
  </w:style>
  <w:style w:type="table" w:styleId="KisiTabe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style>
  <w:style w:type="paragraph" w:customStyle="1" w:styleId="Heading">
    <w:name w:val="Heading"/>
    <w:basedOn w:val="Normal"/>
    <w:next w:val="TeksIsi"/>
    <w:pPr>
      <w:keepNext/>
      <w:spacing w:before="240" w:after="120"/>
    </w:pPr>
    <w:rPr>
      <w:rFonts w:ascii="Arial" w:eastAsia="MS Mincho" w:hAnsi="Arial" w:cs="Tahoma"/>
      <w:sz w:val="28"/>
      <w:szCs w:val="28"/>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qForma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DaftarParagraf">
    <w:name w:val="List Paragraph"/>
    <w:basedOn w:val="Normal"/>
    <w:uiPriority w:val="34"/>
    <w:qFormat/>
    <w:pPr>
      <w:suppressAutoHyphens w:val="0"/>
      <w:spacing w:after="200" w:line="276" w:lineRule="auto"/>
      <w:ind w:left="720"/>
      <w:contextualSpacing/>
    </w:pPr>
    <w:rPr>
      <w:rFonts w:ascii="Calibri" w:eastAsia="Calibri" w:hAnsi="Calibri"/>
      <w:sz w:val="22"/>
      <w:szCs w:val="22"/>
      <w:lang w:eastAsia="en-US"/>
    </w:rPr>
  </w:style>
  <w:style w:type="character" w:customStyle="1" w:styleId="longtext">
    <w:name w:val="long_text"/>
    <w:basedOn w:val="FontParagrafDefault"/>
    <w:qFormat/>
  </w:style>
  <w:style w:type="character" w:customStyle="1" w:styleId="hps">
    <w:name w:val="hps"/>
    <w:basedOn w:val="FontParagrafDefault"/>
  </w:style>
  <w:style w:type="character" w:customStyle="1" w:styleId="Judul4KAR">
    <w:name w:val="Judul 4 KAR"/>
    <w:link w:val="Judul4"/>
    <w:rPr>
      <w:b/>
      <w:bCs/>
      <w:sz w:val="28"/>
      <w:szCs w:val="28"/>
      <w:lang w:val="en-US" w:eastAsia="en-US"/>
    </w:rPr>
  </w:style>
  <w:style w:type="character" w:customStyle="1" w:styleId="HeaderKAR">
    <w:name w:val="Header KAR"/>
    <w:link w:val="Header"/>
    <w:uiPriority w:val="99"/>
    <w:rPr>
      <w:sz w:val="24"/>
      <w:szCs w:val="24"/>
      <w:lang w:val="en-US" w:eastAsia="ar-SA"/>
    </w:rPr>
  </w:style>
  <w:style w:type="character" w:customStyle="1" w:styleId="FooterKAR">
    <w:name w:val="Footer KAR"/>
    <w:link w:val="Footer"/>
    <w:uiPriority w:val="99"/>
    <w:qFormat/>
    <w:rPr>
      <w:sz w:val="24"/>
      <w:szCs w:val="24"/>
      <w:lang w:val="en-US" w:eastAsia="ar-SA"/>
    </w:rPr>
  </w:style>
  <w:style w:type="character" w:customStyle="1" w:styleId="TeksBalonKAR">
    <w:name w:val="Teks Balon KAR"/>
    <w:link w:val="TeksBalon"/>
    <w:uiPriority w:val="99"/>
    <w:semiHidden/>
    <w:qFormat/>
    <w:rPr>
      <w:rFonts w:ascii="Segoe UI" w:hAnsi="Segoe UI" w:cs="Segoe UI"/>
      <w:sz w:val="18"/>
      <w:szCs w:val="18"/>
      <w:lang w:val="en-US" w:eastAsia="ar-SA"/>
    </w:rPr>
  </w:style>
  <w:style w:type="character" w:customStyle="1" w:styleId="IndenTeksIsi2KAR">
    <w:name w:val="Inden Teks Isi 2 KAR"/>
    <w:basedOn w:val="FontParagrafDefault"/>
    <w:link w:val="IndenTeksIsi2"/>
    <w:uiPriority w:val="99"/>
    <w:rPr>
      <w:sz w:val="24"/>
      <w:szCs w:val="24"/>
      <w:lang w:eastAsia="ar-SA"/>
    </w:rPr>
  </w:style>
  <w:style w:type="table" w:customStyle="1" w:styleId="TabelBiasa21">
    <w:name w:val="Tabel Biasa 21"/>
    <w:basedOn w:val="Tabel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65116C"/>
    <w:pPr>
      <w:autoSpaceDE w:val="0"/>
      <w:autoSpaceDN w:val="0"/>
      <w:adjustRightInd w:val="0"/>
      <w:spacing w:after="0" w:line="240" w:lineRule="auto"/>
    </w:pPr>
    <w:rPr>
      <w:rFonts w:eastAsia="Calibri"/>
      <w:color w:val="000000"/>
      <w:sz w:val="24"/>
      <w:szCs w:val="24"/>
      <w:lang w:val="en-ID"/>
    </w:rPr>
  </w:style>
  <w:style w:type="character" w:styleId="SebutanYangBelumTerselesaikan">
    <w:name w:val="Unresolved Mention"/>
    <w:basedOn w:val="FontParagrafDefault"/>
    <w:uiPriority w:val="99"/>
    <w:semiHidden/>
    <w:unhideWhenUsed/>
    <w:rsid w:val="00BD41F7"/>
    <w:rPr>
      <w:color w:val="605E5C"/>
      <w:shd w:val="clear" w:color="auto" w:fill="E1DFDD"/>
    </w:rPr>
  </w:style>
  <w:style w:type="table" w:styleId="DaftarSedang2-Aksen1">
    <w:name w:val="Medium List 2 Accent 1"/>
    <w:basedOn w:val="TabelNormal"/>
    <w:uiPriority w:val="66"/>
    <w:rsid w:val="00A55A51"/>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06">
      <w:bodyDiv w:val="1"/>
      <w:marLeft w:val="0"/>
      <w:marRight w:val="0"/>
      <w:marTop w:val="0"/>
      <w:marBottom w:val="0"/>
      <w:divBdr>
        <w:top w:val="none" w:sz="0" w:space="0" w:color="auto"/>
        <w:left w:val="none" w:sz="0" w:space="0" w:color="auto"/>
        <w:bottom w:val="none" w:sz="0" w:space="0" w:color="auto"/>
        <w:right w:val="none" w:sz="0" w:space="0" w:color="auto"/>
      </w:divBdr>
    </w:div>
    <w:div w:id="91168899">
      <w:bodyDiv w:val="1"/>
      <w:marLeft w:val="0"/>
      <w:marRight w:val="0"/>
      <w:marTop w:val="0"/>
      <w:marBottom w:val="0"/>
      <w:divBdr>
        <w:top w:val="none" w:sz="0" w:space="0" w:color="auto"/>
        <w:left w:val="none" w:sz="0" w:space="0" w:color="auto"/>
        <w:bottom w:val="none" w:sz="0" w:space="0" w:color="auto"/>
        <w:right w:val="none" w:sz="0" w:space="0" w:color="auto"/>
      </w:divBdr>
    </w:div>
    <w:div w:id="97262862">
      <w:bodyDiv w:val="1"/>
      <w:marLeft w:val="0"/>
      <w:marRight w:val="0"/>
      <w:marTop w:val="0"/>
      <w:marBottom w:val="0"/>
      <w:divBdr>
        <w:top w:val="none" w:sz="0" w:space="0" w:color="auto"/>
        <w:left w:val="none" w:sz="0" w:space="0" w:color="auto"/>
        <w:bottom w:val="none" w:sz="0" w:space="0" w:color="auto"/>
        <w:right w:val="none" w:sz="0" w:space="0" w:color="auto"/>
      </w:divBdr>
    </w:div>
    <w:div w:id="326597597">
      <w:bodyDiv w:val="1"/>
      <w:marLeft w:val="0"/>
      <w:marRight w:val="0"/>
      <w:marTop w:val="0"/>
      <w:marBottom w:val="0"/>
      <w:divBdr>
        <w:top w:val="none" w:sz="0" w:space="0" w:color="auto"/>
        <w:left w:val="none" w:sz="0" w:space="0" w:color="auto"/>
        <w:bottom w:val="none" w:sz="0" w:space="0" w:color="auto"/>
        <w:right w:val="none" w:sz="0" w:space="0" w:color="auto"/>
      </w:divBdr>
    </w:div>
    <w:div w:id="464467518">
      <w:bodyDiv w:val="1"/>
      <w:marLeft w:val="0"/>
      <w:marRight w:val="0"/>
      <w:marTop w:val="0"/>
      <w:marBottom w:val="0"/>
      <w:divBdr>
        <w:top w:val="none" w:sz="0" w:space="0" w:color="auto"/>
        <w:left w:val="none" w:sz="0" w:space="0" w:color="auto"/>
        <w:bottom w:val="none" w:sz="0" w:space="0" w:color="auto"/>
        <w:right w:val="none" w:sz="0" w:space="0" w:color="auto"/>
      </w:divBdr>
    </w:div>
    <w:div w:id="542517666">
      <w:bodyDiv w:val="1"/>
      <w:marLeft w:val="0"/>
      <w:marRight w:val="0"/>
      <w:marTop w:val="0"/>
      <w:marBottom w:val="0"/>
      <w:divBdr>
        <w:top w:val="none" w:sz="0" w:space="0" w:color="auto"/>
        <w:left w:val="none" w:sz="0" w:space="0" w:color="auto"/>
        <w:bottom w:val="none" w:sz="0" w:space="0" w:color="auto"/>
        <w:right w:val="none" w:sz="0" w:space="0" w:color="auto"/>
      </w:divBdr>
    </w:div>
    <w:div w:id="712081107">
      <w:bodyDiv w:val="1"/>
      <w:marLeft w:val="0"/>
      <w:marRight w:val="0"/>
      <w:marTop w:val="0"/>
      <w:marBottom w:val="0"/>
      <w:divBdr>
        <w:top w:val="none" w:sz="0" w:space="0" w:color="auto"/>
        <w:left w:val="none" w:sz="0" w:space="0" w:color="auto"/>
        <w:bottom w:val="none" w:sz="0" w:space="0" w:color="auto"/>
        <w:right w:val="none" w:sz="0" w:space="0" w:color="auto"/>
      </w:divBdr>
    </w:div>
    <w:div w:id="717363069">
      <w:bodyDiv w:val="1"/>
      <w:marLeft w:val="0"/>
      <w:marRight w:val="0"/>
      <w:marTop w:val="0"/>
      <w:marBottom w:val="0"/>
      <w:divBdr>
        <w:top w:val="none" w:sz="0" w:space="0" w:color="auto"/>
        <w:left w:val="none" w:sz="0" w:space="0" w:color="auto"/>
        <w:bottom w:val="none" w:sz="0" w:space="0" w:color="auto"/>
        <w:right w:val="none" w:sz="0" w:space="0" w:color="auto"/>
      </w:divBdr>
    </w:div>
    <w:div w:id="815531263">
      <w:bodyDiv w:val="1"/>
      <w:marLeft w:val="0"/>
      <w:marRight w:val="0"/>
      <w:marTop w:val="0"/>
      <w:marBottom w:val="0"/>
      <w:divBdr>
        <w:top w:val="none" w:sz="0" w:space="0" w:color="auto"/>
        <w:left w:val="none" w:sz="0" w:space="0" w:color="auto"/>
        <w:bottom w:val="none" w:sz="0" w:space="0" w:color="auto"/>
        <w:right w:val="none" w:sz="0" w:space="0" w:color="auto"/>
      </w:divBdr>
      <w:divsChild>
        <w:div w:id="349724223">
          <w:marLeft w:val="0"/>
          <w:marRight w:val="0"/>
          <w:marTop w:val="0"/>
          <w:marBottom w:val="0"/>
          <w:divBdr>
            <w:top w:val="none" w:sz="0" w:space="0" w:color="auto"/>
            <w:left w:val="none" w:sz="0" w:space="0" w:color="auto"/>
            <w:bottom w:val="none" w:sz="0" w:space="0" w:color="auto"/>
            <w:right w:val="none" w:sz="0" w:space="0" w:color="auto"/>
          </w:divBdr>
          <w:divsChild>
            <w:div w:id="1608854094">
              <w:marLeft w:val="0"/>
              <w:marRight w:val="0"/>
              <w:marTop w:val="0"/>
              <w:marBottom w:val="0"/>
              <w:divBdr>
                <w:top w:val="none" w:sz="0" w:space="0" w:color="auto"/>
                <w:left w:val="none" w:sz="0" w:space="0" w:color="auto"/>
                <w:bottom w:val="none" w:sz="0" w:space="0" w:color="auto"/>
                <w:right w:val="none" w:sz="0" w:space="0" w:color="auto"/>
              </w:divBdr>
              <w:divsChild>
                <w:div w:id="2130393184">
                  <w:marLeft w:val="0"/>
                  <w:marRight w:val="0"/>
                  <w:marTop w:val="0"/>
                  <w:marBottom w:val="0"/>
                  <w:divBdr>
                    <w:top w:val="none" w:sz="0" w:space="0" w:color="auto"/>
                    <w:left w:val="none" w:sz="0" w:space="0" w:color="auto"/>
                    <w:bottom w:val="none" w:sz="0" w:space="0" w:color="auto"/>
                    <w:right w:val="none" w:sz="0" w:space="0" w:color="auto"/>
                  </w:divBdr>
                  <w:divsChild>
                    <w:div w:id="1288514303">
                      <w:marLeft w:val="0"/>
                      <w:marRight w:val="0"/>
                      <w:marTop w:val="0"/>
                      <w:marBottom w:val="0"/>
                      <w:divBdr>
                        <w:top w:val="none" w:sz="0" w:space="0" w:color="auto"/>
                        <w:left w:val="none" w:sz="0" w:space="0" w:color="auto"/>
                        <w:bottom w:val="none" w:sz="0" w:space="0" w:color="auto"/>
                        <w:right w:val="none" w:sz="0" w:space="0" w:color="auto"/>
                      </w:divBdr>
                      <w:divsChild>
                        <w:div w:id="1240091892">
                          <w:marLeft w:val="0"/>
                          <w:marRight w:val="0"/>
                          <w:marTop w:val="0"/>
                          <w:marBottom w:val="0"/>
                          <w:divBdr>
                            <w:top w:val="none" w:sz="0" w:space="0" w:color="auto"/>
                            <w:left w:val="none" w:sz="0" w:space="0" w:color="auto"/>
                            <w:bottom w:val="none" w:sz="0" w:space="0" w:color="auto"/>
                            <w:right w:val="none" w:sz="0" w:space="0" w:color="auto"/>
                          </w:divBdr>
                          <w:divsChild>
                            <w:div w:id="13243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177028">
                  <w:marLeft w:val="0"/>
                  <w:marRight w:val="0"/>
                  <w:marTop w:val="0"/>
                  <w:marBottom w:val="0"/>
                  <w:divBdr>
                    <w:top w:val="none" w:sz="0" w:space="0" w:color="auto"/>
                    <w:left w:val="none" w:sz="0" w:space="0" w:color="auto"/>
                    <w:bottom w:val="none" w:sz="0" w:space="0" w:color="auto"/>
                    <w:right w:val="none" w:sz="0" w:space="0" w:color="auto"/>
                  </w:divBdr>
                  <w:divsChild>
                    <w:div w:id="168173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5209">
      <w:bodyDiv w:val="1"/>
      <w:marLeft w:val="0"/>
      <w:marRight w:val="0"/>
      <w:marTop w:val="0"/>
      <w:marBottom w:val="0"/>
      <w:divBdr>
        <w:top w:val="none" w:sz="0" w:space="0" w:color="auto"/>
        <w:left w:val="none" w:sz="0" w:space="0" w:color="auto"/>
        <w:bottom w:val="none" w:sz="0" w:space="0" w:color="auto"/>
        <w:right w:val="none" w:sz="0" w:space="0" w:color="auto"/>
      </w:divBdr>
    </w:div>
    <w:div w:id="950087533">
      <w:bodyDiv w:val="1"/>
      <w:marLeft w:val="0"/>
      <w:marRight w:val="0"/>
      <w:marTop w:val="0"/>
      <w:marBottom w:val="0"/>
      <w:divBdr>
        <w:top w:val="none" w:sz="0" w:space="0" w:color="auto"/>
        <w:left w:val="none" w:sz="0" w:space="0" w:color="auto"/>
        <w:bottom w:val="none" w:sz="0" w:space="0" w:color="auto"/>
        <w:right w:val="none" w:sz="0" w:space="0" w:color="auto"/>
      </w:divBdr>
    </w:div>
    <w:div w:id="1241257977">
      <w:bodyDiv w:val="1"/>
      <w:marLeft w:val="0"/>
      <w:marRight w:val="0"/>
      <w:marTop w:val="0"/>
      <w:marBottom w:val="0"/>
      <w:divBdr>
        <w:top w:val="none" w:sz="0" w:space="0" w:color="auto"/>
        <w:left w:val="none" w:sz="0" w:space="0" w:color="auto"/>
        <w:bottom w:val="none" w:sz="0" w:space="0" w:color="auto"/>
        <w:right w:val="none" w:sz="0" w:space="0" w:color="auto"/>
      </w:divBdr>
    </w:div>
    <w:div w:id="1410350496">
      <w:bodyDiv w:val="1"/>
      <w:marLeft w:val="0"/>
      <w:marRight w:val="0"/>
      <w:marTop w:val="0"/>
      <w:marBottom w:val="0"/>
      <w:divBdr>
        <w:top w:val="none" w:sz="0" w:space="0" w:color="auto"/>
        <w:left w:val="none" w:sz="0" w:space="0" w:color="auto"/>
        <w:bottom w:val="none" w:sz="0" w:space="0" w:color="auto"/>
        <w:right w:val="none" w:sz="0" w:space="0" w:color="auto"/>
      </w:divBdr>
    </w:div>
    <w:div w:id="1411922786">
      <w:bodyDiv w:val="1"/>
      <w:marLeft w:val="0"/>
      <w:marRight w:val="0"/>
      <w:marTop w:val="0"/>
      <w:marBottom w:val="0"/>
      <w:divBdr>
        <w:top w:val="none" w:sz="0" w:space="0" w:color="auto"/>
        <w:left w:val="none" w:sz="0" w:space="0" w:color="auto"/>
        <w:bottom w:val="none" w:sz="0" w:space="0" w:color="auto"/>
        <w:right w:val="none" w:sz="0" w:space="0" w:color="auto"/>
      </w:divBdr>
    </w:div>
    <w:div w:id="1497501213">
      <w:bodyDiv w:val="1"/>
      <w:marLeft w:val="0"/>
      <w:marRight w:val="0"/>
      <w:marTop w:val="0"/>
      <w:marBottom w:val="0"/>
      <w:divBdr>
        <w:top w:val="none" w:sz="0" w:space="0" w:color="auto"/>
        <w:left w:val="none" w:sz="0" w:space="0" w:color="auto"/>
        <w:bottom w:val="none" w:sz="0" w:space="0" w:color="auto"/>
        <w:right w:val="none" w:sz="0" w:space="0" w:color="auto"/>
      </w:divBdr>
    </w:div>
    <w:div w:id="1500345965">
      <w:bodyDiv w:val="1"/>
      <w:marLeft w:val="0"/>
      <w:marRight w:val="0"/>
      <w:marTop w:val="0"/>
      <w:marBottom w:val="0"/>
      <w:divBdr>
        <w:top w:val="none" w:sz="0" w:space="0" w:color="auto"/>
        <w:left w:val="none" w:sz="0" w:space="0" w:color="auto"/>
        <w:bottom w:val="none" w:sz="0" w:space="0" w:color="auto"/>
        <w:right w:val="none" w:sz="0" w:space="0" w:color="auto"/>
      </w:divBdr>
    </w:div>
    <w:div w:id="1527794708">
      <w:bodyDiv w:val="1"/>
      <w:marLeft w:val="0"/>
      <w:marRight w:val="0"/>
      <w:marTop w:val="0"/>
      <w:marBottom w:val="0"/>
      <w:divBdr>
        <w:top w:val="none" w:sz="0" w:space="0" w:color="auto"/>
        <w:left w:val="none" w:sz="0" w:space="0" w:color="auto"/>
        <w:bottom w:val="none" w:sz="0" w:space="0" w:color="auto"/>
        <w:right w:val="none" w:sz="0" w:space="0" w:color="auto"/>
      </w:divBdr>
    </w:div>
    <w:div w:id="1535341204">
      <w:bodyDiv w:val="1"/>
      <w:marLeft w:val="0"/>
      <w:marRight w:val="0"/>
      <w:marTop w:val="0"/>
      <w:marBottom w:val="0"/>
      <w:divBdr>
        <w:top w:val="none" w:sz="0" w:space="0" w:color="auto"/>
        <w:left w:val="none" w:sz="0" w:space="0" w:color="auto"/>
        <w:bottom w:val="none" w:sz="0" w:space="0" w:color="auto"/>
        <w:right w:val="none" w:sz="0" w:space="0" w:color="auto"/>
      </w:divBdr>
      <w:divsChild>
        <w:div w:id="1243296457">
          <w:marLeft w:val="0"/>
          <w:marRight w:val="0"/>
          <w:marTop w:val="0"/>
          <w:marBottom w:val="0"/>
          <w:divBdr>
            <w:top w:val="none" w:sz="0" w:space="0" w:color="auto"/>
            <w:left w:val="none" w:sz="0" w:space="0" w:color="auto"/>
            <w:bottom w:val="none" w:sz="0" w:space="0" w:color="auto"/>
            <w:right w:val="none" w:sz="0" w:space="0" w:color="auto"/>
          </w:divBdr>
          <w:divsChild>
            <w:div w:id="894776179">
              <w:marLeft w:val="0"/>
              <w:marRight w:val="0"/>
              <w:marTop w:val="0"/>
              <w:marBottom w:val="0"/>
              <w:divBdr>
                <w:top w:val="none" w:sz="0" w:space="0" w:color="auto"/>
                <w:left w:val="none" w:sz="0" w:space="0" w:color="auto"/>
                <w:bottom w:val="none" w:sz="0" w:space="0" w:color="auto"/>
                <w:right w:val="none" w:sz="0" w:space="0" w:color="auto"/>
              </w:divBdr>
              <w:divsChild>
                <w:div w:id="52581514">
                  <w:marLeft w:val="0"/>
                  <w:marRight w:val="0"/>
                  <w:marTop w:val="0"/>
                  <w:marBottom w:val="0"/>
                  <w:divBdr>
                    <w:top w:val="none" w:sz="0" w:space="0" w:color="auto"/>
                    <w:left w:val="none" w:sz="0" w:space="0" w:color="auto"/>
                    <w:bottom w:val="none" w:sz="0" w:space="0" w:color="auto"/>
                    <w:right w:val="none" w:sz="0" w:space="0" w:color="auto"/>
                  </w:divBdr>
                  <w:divsChild>
                    <w:div w:id="17004506">
                      <w:marLeft w:val="0"/>
                      <w:marRight w:val="0"/>
                      <w:marTop w:val="0"/>
                      <w:marBottom w:val="0"/>
                      <w:divBdr>
                        <w:top w:val="none" w:sz="0" w:space="0" w:color="auto"/>
                        <w:left w:val="none" w:sz="0" w:space="0" w:color="auto"/>
                        <w:bottom w:val="none" w:sz="0" w:space="0" w:color="auto"/>
                        <w:right w:val="none" w:sz="0" w:space="0" w:color="auto"/>
                      </w:divBdr>
                      <w:divsChild>
                        <w:div w:id="2097162656">
                          <w:marLeft w:val="0"/>
                          <w:marRight w:val="0"/>
                          <w:marTop w:val="0"/>
                          <w:marBottom w:val="0"/>
                          <w:divBdr>
                            <w:top w:val="none" w:sz="0" w:space="0" w:color="auto"/>
                            <w:left w:val="none" w:sz="0" w:space="0" w:color="auto"/>
                            <w:bottom w:val="none" w:sz="0" w:space="0" w:color="auto"/>
                            <w:right w:val="none" w:sz="0" w:space="0" w:color="auto"/>
                          </w:divBdr>
                          <w:divsChild>
                            <w:div w:id="20541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01498">
                  <w:marLeft w:val="0"/>
                  <w:marRight w:val="0"/>
                  <w:marTop w:val="0"/>
                  <w:marBottom w:val="0"/>
                  <w:divBdr>
                    <w:top w:val="none" w:sz="0" w:space="0" w:color="auto"/>
                    <w:left w:val="none" w:sz="0" w:space="0" w:color="auto"/>
                    <w:bottom w:val="none" w:sz="0" w:space="0" w:color="auto"/>
                    <w:right w:val="none" w:sz="0" w:space="0" w:color="auto"/>
                  </w:divBdr>
                  <w:divsChild>
                    <w:div w:id="11638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149632">
      <w:bodyDiv w:val="1"/>
      <w:marLeft w:val="0"/>
      <w:marRight w:val="0"/>
      <w:marTop w:val="0"/>
      <w:marBottom w:val="0"/>
      <w:divBdr>
        <w:top w:val="none" w:sz="0" w:space="0" w:color="auto"/>
        <w:left w:val="none" w:sz="0" w:space="0" w:color="auto"/>
        <w:bottom w:val="none" w:sz="0" w:space="0" w:color="auto"/>
        <w:right w:val="none" w:sz="0" w:space="0" w:color="auto"/>
      </w:divBdr>
    </w:div>
    <w:div w:id="1685589724">
      <w:bodyDiv w:val="1"/>
      <w:marLeft w:val="0"/>
      <w:marRight w:val="0"/>
      <w:marTop w:val="0"/>
      <w:marBottom w:val="0"/>
      <w:divBdr>
        <w:top w:val="none" w:sz="0" w:space="0" w:color="auto"/>
        <w:left w:val="none" w:sz="0" w:space="0" w:color="auto"/>
        <w:bottom w:val="none" w:sz="0" w:space="0" w:color="auto"/>
        <w:right w:val="none" w:sz="0" w:space="0" w:color="auto"/>
      </w:divBdr>
    </w:div>
    <w:div w:id="1687368915">
      <w:bodyDiv w:val="1"/>
      <w:marLeft w:val="0"/>
      <w:marRight w:val="0"/>
      <w:marTop w:val="0"/>
      <w:marBottom w:val="0"/>
      <w:divBdr>
        <w:top w:val="none" w:sz="0" w:space="0" w:color="auto"/>
        <w:left w:val="none" w:sz="0" w:space="0" w:color="auto"/>
        <w:bottom w:val="none" w:sz="0" w:space="0" w:color="auto"/>
        <w:right w:val="none" w:sz="0" w:space="0" w:color="auto"/>
      </w:divBdr>
    </w:div>
    <w:div w:id="1689982924">
      <w:bodyDiv w:val="1"/>
      <w:marLeft w:val="0"/>
      <w:marRight w:val="0"/>
      <w:marTop w:val="0"/>
      <w:marBottom w:val="0"/>
      <w:divBdr>
        <w:top w:val="none" w:sz="0" w:space="0" w:color="auto"/>
        <w:left w:val="none" w:sz="0" w:space="0" w:color="auto"/>
        <w:bottom w:val="none" w:sz="0" w:space="0" w:color="auto"/>
        <w:right w:val="none" w:sz="0" w:space="0" w:color="auto"/>
      </w:divBdr>
    </w:div>
    <w:div w:id="1825471692">
      <w:bodyDiv w:val="1"/>
      <w:marLeft w:val="0"/>
      <w:marRight w:val="0"/>
      <w:marTop w:val="0"/>
      <w:marBottom w:val="0"/>
      <w:divBdr>
        <w:top w:val="none" w:sz="0" w:space="0" w:color="auto"/>
        <w:left w:val="none" w:sz="0" w:space="0" w:color="auto"/>
        <w:bottom w:val="none" w:sz="0" w:space="0" w:color="auto"/>
        <w:right w:val="none" w:sz="0" w:space="0" w:color="auto"/>
      </w:divBdr>
    </w:div>
    <w:div w:id="1845243984">
      <w:bodyDiv w:val="1"/>
      <w:marLeft w:val="0"/>
      <w:marRight w:val="0"/>
      <w:marTop w:val="0"/>
      <w:marBottom w:val="0"/>
      <w:divBdr>
        <w:top w:val="none" w:sz="0" w:space="0" w:color="auto"/>
        <w:left w:val="none" w:sz="0" w:space="0" w:color="auto"/>
        <w:bottom w:val="none" w:sz="0" w:space="0" w:color="auto"/>
        <w:right w:val="none" w:sz="0" w:space="0" w:color="auto"/>
      </w:divBdr>
    </w:div>
    <w:div w:id="1939097332">
      <w:bodyDiv w:val="1"/>
      <w:marLeft w:val="0"/>
      <w:marRight w:val="0"/>
      <w:marTop w:val="0"/>
      <w:marBottom w:val="0"/>
      <w:divBdr>
        <w:top w:val="none" w:sz="0" w:space="0" w:color="auto"/>
        <w:left w:val="none" w:sz="0" w:space="0" w:color="auto"/>
        <w:bottom w:val="none" w:sz="0" w:space="0" w:color="auto"/>
        <w:right w:val="none" w:sz="0" w:space="0" w:color="auto"/>
      </w:divBdr>
    </w:div>
    <w:div w:id="1952130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46145291101300407" TargetMode="External"/><Relationship Id="rId18" Type="http://schemas.openxmlformats.org/officeDocument/2006/relationships/hyperlink" Target="https://doi.org/10.5751/ES-09854-230107" TargetMode="External"/><Relationship Id="rId26" Type="http://schemas.openxmlformats.org/officeDocument/2006/relationships/hyperlink" Target="https://doi.org/10.25077/jhk.12.1.2021.77-94" TargetMode="External"/><Relationship Id="rId3" Type="http://schemas.openxmlformats.org/officeDocument/2006/relationships/settings" Target="settings.xml"/><Relationship Id="rId21" Type="http://schemas.openxmlformats.org/officeDocument/2006/relationships/hyperlink" Target="https://doi.org/10.22146/jhp.11.2.5674" TargetMode="External"/><Relationship Id="rId34" Type="http://schemas.openxmlformats.org/officeDocument/2006/relationships/hyperlink" Target="https://doi.org/10.26740/jhal.v6i2.5113" TargetMode="External"/><Relationship Id="rId7" Type="http://schemas.openxmlformats.org/officeDocument/2006/relationships/header" Target="header1.xml"/><Relationship Id="rId12" Type="http://schemas.openxmlformats.org/officeDocument/2006/relationships/hyperlink" Target="https://doi.org/10.1177/1461452914564473" TargetMode="External"/><Relationship Id="rId17" Type="http://schemas.openxmlformats.org/officeDocument/2006/relationships/hyperlink" Target="https://doi.org/10.31141/jihp.v10i3.4533" TargetMode="External"/><Relationship Id="rId25" Type="http://schemas.openxmlformats.org/officeDocument/2006/relationships/hyperlink" Target="https://doi.org/10.31333/jhki.v13i2.3670" TargetMode="External"/><Relationship Id="rId33" Type="http://schemas.openxmlformats.org/officeDocument/2006/relationships/hyperlink" Target="https://doi.org/10.25041/jiha.v8i2.3911" TargetMode="External"/><Relationship Id="rId2" Type="http://schemas.openxmlformats.org/officeDocument/2006/relationships/styles" Target="styles.xml"/><Relationship Id="rId16" Type="http://schemas.openxmlformats.org/officeDocument/2006/relationships/hyperlink" Target="https://doi.org/10.25041/jy.v15i3.2099" TargetMode="External"/><Relationship Id="rId20" Type="http://schemas.openxmlformats.org/officeDocument/2006/relationships/hyperlink" Target="https://doi.org/10.25077/jlh.7.1.2023.88-104" TargetMode="External"/><Relationship Id="rId29" Type="http://schemas.openxmlformats.org/officeDocument/2006/relationships/hyperlink" Target="https://doi.org/10.25077/jhtl.v11i1.523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25077/jhhijau.v6i2.2211" TargetMode="External"/><Relationship Id="rId24" Type="http://schemas.openxmlformats.org/officeDocument/2006/relationships/hyperlink" Target="https://doi.org/10.14710/jhr.v9i1.4501" TargetMode="External"/><Relationship Id="rId32" Type="http://schemas.openxmlformats.org/officeDocument/2006/relationships/hyperlink" Target="https://doi.org/10.25077/jkln.v4i1.2341" TargetMode="External"/><Relationship Id="rId5" Type="http://schemas.openxmlformats.org/officeDocument/2006/relationships/footnotes" Target="footnotes.xml"/><Relationship Id="rId15" Type="http://schemas.openxmlformats.org/officeDocument/2006/relationships/hyperlink" Target="https://doi.org/10.25077/jhp.11.2.2020.145-160" TargetMode="External"/><Relationship Id="rId23" Type="http://schemas.openxmlformats.org/officeDocument/2006/relationships/hyperlink" Target="https://doi.org/10.1177/1461452920963485" TargetMode="External"/><Relationship Id="rId28" Type="http://schemas.openxmlformats.org/officeDocument/2006/relationships/hyperlink" Target="https://doi.org/10.26740/jhh.v6i1.1203" TargetMode="External"/><Relationship Id="rId36" Type="http://schemas.openxmlformats.org/officeDocument/2006/relationships/theme" Target="theme/theme1.xml"/><Relationship Id="rId10" Type="http://schemas.openxmlformats.org/officeDocument/2006/relationships/hyperlink" Target="https://doi.org/10.25077/jhl.v5i2.2301" TargetMode="External"/><Relationship Id="rId19" Type="http://schemas.openxmlformats.org/officeDocument/2006/relationships/hyperlink" Target="https://doi.org/10.1093/jel/eqp019" TargetMode="External"/><Relationship Id="rId31" Type="http://schemas.openxmlformats.org/officeDocument/2006/relationships/hyperlink" Target="https://doi.org/10.35584/jhm.v12i1.5698" TargetMode="External"/><Relationship Id="rId4" Type="http://schemas.openxmlformats.org/officeDocument/2006/relationships/webSettings" Target="webSettings.xml"/><Relationship Id="rId9" Type="http://schemas.openxmlformats.org/officeDocument/2006/relationships/hyperlink" Target="https://doi.org/10.4324/9781315748516" TargetMode="External"/><Relationship Id="rId14" Type="http://schemas.openxmlformats.org/officeDocument/2006/relationships/hyperlink" Target="https://doi.org/10.26740/jha.v5i1.1220" TargetMode="External"/><Relationship Id="rId22" Type="http://schemas.openxmlformats.org/officeDocument/2006/relationships/hyperlink" Target="https://doi.org/10.25077/jph.v10i1.435" TargetMode="External"/><Relationship Id="rId27" Type="http://schemas.openxmlformats.org/officeDocument/2006/relationships/hyperlink" Target="https://doi.org/10.22146/jishh.v15i1.5119" TargetMode="External"/><Relationship Id="rId30" Type="http://schemas.openxmlformats.org/officeDocument/2006/relationships/hyperlink" Target="https://doi.org/10.26740/jle.v9i3.5522" TargetMode="External"/><Relationship Id="rId35" Type="http://schemas.openxmlformats.org/officeDocument/2006/relationships/fontTable" Target="fontTable.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s://ejournal.uby.ac.id/index.php/ny"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ejournal.uby.ac.id/index.php/n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4735</Words>
  <Characters>26990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Preparation of Papers in Two-Column Format for ICICI</vt:lpstr>
    </vt:vector>
  </TitlesOfParts>
  <Company>Toshiba</Company>
  <LinksUpToDate>false</LinksUpToDate>
  <CharactersWithSpaces>31662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ICICI</dc:title>
  <dc:creator>pengetikan</dc:creator>
  <cp:lastModifiedBy>Vin Setyawan</cp:lastModifiedBy>
  <cp:revision>3</cp:revision>
  <cp:lastPrinted>2019-07-26T07:09:00Z</cp:lastPrinted>
  <dcterms:created xsi:type="dcterms:W3CDTF">2025-02-20T12:52:00Z</dcterms:created>
  <dcterms:modified xsi:type="dcterms:W3CDTF">2025-07-26T07:55:00Z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y fmtid="{D5CDD505-2E9C-101B-9397-08002B2CF9AE}" pid="3" name="GrammarlyDocumentId">
    <vt:lpwstr>0842e50bdb1b789efcfdffb6fb667fb8cf597daab736dc39b083fd52e18394ed</vt:lpwstr>
  </property>
</Properties>
</file>